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D" w:rsidRPr="00053245" w:rsidRDefault="00EF5E1F" w:rsidP="00CD794D">
      <w:pPr>
        <w:pStyle w:val="StyleRightLeft476cm"/>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9pt">
            <v:imagedata r:id="rId8" o:title="university logo copy"/>
          </v:shape>
        </w:pict>
      </w:r>
    </w:p>
    <w:p w:rsidR="00956B40" w:rsidRPr="00053245" w:rsidRDefault="00956B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9"/>
        <w:gridCol w:w="4715"/>
      </w:tblGrid>
      <w:tr w:rsidR="00053245" w:rsidRPr="00053245" w:rsidTr="009B46DF">
        <w:tc>
          <w:tcPr>
            <w:tcW w:w="4536" w:type="dxa"/>
            <w:shd w:val="clear" w:color="auto" w:fill="auto"/>
          </w:tcPr>
          <w:p w:rsidR="008E7216" w:rsidRPr="00053245" w:rsidRDefault="008E7216" w:rsidP="009B46DF">
            <w:pPr>
              <w:pStyle w:val="Title1"/>
            </w:pPr>
            <w:r w:rsidRPr="00053245">
              <w:t xml:space="preserve">Module title: </w:t>
            </w:r>
          </w:p>
        </w:tc>
        <w:tc>
          <w:tcPr>
            <w:tcW w:w="5103" w:type="dxa"/>
            <w:shd w:val="clear" w:color="auto" w:fill="auto"/>
          </w:tcPr>
          <w:p w:rsidR="008E7216" w:rsidRPr="00053245" w:rsidRDefault="008E7216" w:rsidP="009B46DF">
            <w:pPr>
              <w:pStyle w:val="Subtitle1"/>
              <w:rPr>
                <w:sz w:val="22"/>
                <w:szCs w:val="22"/>
              </w:rPr>
            </w:pPr>
            <w:r w:rsidRPr="00053245">
              <w:rPr>
                <w:sz w:val="22"/>
                <w:szCs w:val="22"/>
              </w:rPr>
              <w:t>Portus: Archaeological Field School</w:t>
            </w:r>
          </w:p>
        </w:tc>
      </w:tr>
      <w:tr w:rsidR="00053245" w:rsidRPr="00053245" w:rsidTr="009B46DF">
        <w:tc>
          <w:tcPr>
            <w:tcW w:w="4536" w:type="dxa"/>
            <w:shd w:val="clear" w:color="auto" w:fill="auto"/>
          </w:tcPr>
          <w:p w:rsidR="008E7216" w:rsidRPr="00053245" w:rsidRDefault="008E7216" w:rsidP="009B46DF">
            <w:pPr>
              <w:pStyle w:val="Subtitle1"/>
              <w:rPr>
                <w:spacing w:val="-3"/>
                <w:sz w:val="24"/>
                <w:szCs w:val="24"/>
              </w:rPr>
            </w:pPr>
            <w:r w:rsidRPr="00053245">
              <w:rPr>
                <w:sz w:val="24"/>
                <w:szCs w:val="24"/>
              </w:rPr>
              <w:t>Module code:</w:t>
            </w:r>
            <w:r w:rsidRPr="00053245">
              <w:rPr>
                <w:spacing w:val="-3"/>
                <w:sz w:val="24"/>
                <w:szCs w:val="24"/>
              </w:rPr>
              <w:t xml:space="preserve">  </w:t>
            </w:r>
          </w:p>
        </w:tc>
        <w:tc>
          <w:tcPr>
            <w:tcW w:w="5103" w:type="dxa"/>
            <w:shd w:val="clear" w:color="auto" w:fill="auto"/>
          </w:tcPr>
          <w:p w:rsidR="008E7216" w:rsidRPr="00053245" w:rsidRDefault="00FF3D0A" w:rsidP="009B46DF">
            <w:pPr>
              <w:pStyle w:val="Subtitle1"/>
              <w:rPr>
                <w:spacing w:val="-3"/>
                <w:sz w:val="22"/>
                <w:szCs w:val="22"/>
              </w:rPr>
            </w:pPr>
            <w:r w:rsidRPr="00053245">
              <w:rPr>
                <w:spacing w:val="-3"/>
                <w:sz w:val="22"/>
                <w:szCs w:val="22"/>
              </w:rPr>
              <w:t>UOSM</w:t>
            </w:r>
            <w:r w:rsidR="008E7216" w:rsidRPr="00053245">
              <w:rPr>
                <w:spacing w:val="-3"/>
                <w:sz w:val="22"/>
                <w:szCs w:val="22"/>
              </w:rPr>
              <w:t>2023</w:t>
            </w:r>
          </w:p>
        </w:tc>
        <w:bookmarkStart w:id="0" w:name="_GoBack"/>
        <w:bookmarkEnd w:id="0"/>
      </w:tr>
      <w:tr w:rsidR="00053245" w:rsidRPr="00053245" w:rsidTr="009B46DF">
        <w:tc>
          <w:tcPr>
            <w:tcW w:w="4536" w:type="dxa"/>
            <w:shd w:val="clear" w:color="auto" w:fill="auto"/>
          </w:tcPr>
          <w:p w:rsidR="008E7216" w:rsidRPr="00053245" w:rsidRDefault="008E7216" w:rsidP="009B46DF">
            <w:pPr>
              <w:pStyle w:val="Subtitle1"/>
              <w:rPr>
                <w:spacing w:val="-3"/>
                <w:sz w:val="24"/>
                <w:szCs w:val="24"/>
              </w:rPr>
            </w:pPr>
            <w:r w:rsidRPr="00053245">
              <w:rPr>
                <w:spacing w:val="-3"/>
                <w:sz w:val="24"/>
                <w:szCs w:val="24"/>
              </w:rPr>
              <w:t>Version:</w:t>
            </w:r>
          </w:p>
        </w:tc>
        <w:tc>
          <w:tcPr>
            <w:tcW w:w="5103" w:type="dxa"/>
            <w:shd w:val="clear" w:color="auto" w:fill="auto"/>
          </w:tcPr>
          <w:p w:rsidR="008E7216" w:rsidRPr="00053245" w:rsidRDefault="008E7216" w:rsidP="009B46DF">
            <w:pPr>
              <w:pStyle w:val="Subtitle1"/>
              <w:rPr>
                <w:spacing w:val="-3"/>
                <w:sz w:val="22"/>
                <w:szCs w:val="22"/>
              </w:rPr>
            </w:pPr>
          </w:p>
        </w:tc>
      </w:tr>
      <w:tr w:rsidR="00053245" w:rsidRPr="00053245" w:rsidTr="009B46DF">
        <w:tc>
          <w:tcPr>
            <w:tcW w:w="4536" w:type="dxa"/>
            <w:shd w:val="clear" w:color="auto" w:fill="auto"/>
          </w:tcPr>
          <w:p w:rsidR="008E7216" w:rsidRPr="00053245" w:rsidRDefault="008E7216" w:rsidP="009B46DF">
            <w:pPr>
              <w:pStyle w:val="Subtitle1"/>
              <w:rPr>
                <w:spacing w:val="-3"/>
                <w:sz w:val="24"/>
                <w:szCs w:val="24"/>
              </w:rPr>
            </w:pPr>
            <w:r w:rsidRPr="00053245">
              <w:rPr>
                <w:spacing w:val="-3"/>
                <w:sz w:val="24"/>
                <w:szCs w:val="24"/>
              </w:rPr>
              <w:t>Last updated:</w:t>
            </w:r>
          </w:p>
        </w:tc>
        <w:tc>
          <w:tcPr>
            <w:tcW w:w="5103" w:type="dxa"/>
            <w:shd w:val="clear" w:color="auto" w:fill="auto"/>
          </w:tcPr>
          <w:p w:rsidR="008E7216" w:rsidRPr="00053245" w:rsidRDefault="007C7965" w:rsidP="009B46DF">
            <w:pPr>
              <w:pStyle w:val="Subtitle1"/>
              <w:rPr>
                <w:spacing w:val="-3"/>
                <w:sz w:val="22"/>
                <w:szCs w:val="22"/>
              </w:rPr>
            </w:pPr>
            <w:r w:rsidRPr="00053245">
              <w:rPr>
                <w:spacing w:val="-3"/>
                <w:sz w:val="22"/>
                <w:szCs w:val="22"/>
              </w:rPr>
              <w:t>23</w:t>
            </w:r>
            <w:r w:rsidRPr="00053245">
              <w:rPr>
                <w:spacing w:val="-3"/>
                <w:sz w:val="22"/>
                <w:szCs w:val="22"/>
                <w:vertAlign w:val="superscript"/>
              </w:rPr>
              <w:t>rd</w:t>
            </w:r>
            <w:r w:rsidRPr="00053245">
              <w:rPr>
                <w:spacing w:val="-3"/>
                <w:sz w:val="22"/>
                <w:szCs w:val="22"/>
              </w:rPr>
              <w:t xml:space="preserve"> October 2013</w:t>
            </w:r>
          </w:p>
        </w:tc>
      </w:tr>
    </w:tbl>
    <w:p w:rsidR="009F7D94" w:rsidRPr="00053245" w:rsidRDefault="009F7D94" w:rsidP="009F7D94">
      <w:pPr>
        <w:pStyle w:val="QAhandbookheader"/>
        <w:rPr>
          <w:sz w:val="28"/>
          <w:szCs w:val="28"/>
        </w:rPr>
      </w:pPr>
    </w:p>
    <w:p w:rsidR="00956B40" w:rsidRPr="00053245" w:rsidRDefault="00282FF2" w:rsidP="00282FF2">
      <w:pPr>
        <w:pStyle w:val="QAhandbookheader"/>
        <w:rPr>
          <w:sz w:val="28"/>
          <w:szCs w:val="28"/>
        </w:rPr>
      </w:pPr>
      <w:r w:rsidRPr="00053245">
        <w:rPr>
          <w:sz w:val="28"/>
          <w:szCs w:val="28"/>
        </w:rPr>
        <w:t xml:space="preserve">Proposed </w:t>
      </w:r>
      <w:r w:rsidR="00956B40" w:rsidRPr="00053245">
        <w:rPr>
          <w:sz w:val="28"/>
          <w:szCs w:val="28"/>
        </w:rPr>
        <w:t>Module title</w:t>
      </w:r>
      <w:r w:rsidRPr="00053245">
        <w:rPr>
          <w:sz w:val="28"/>
          <w:szCs w:val="28"/>
        </w:rPr>
        <w:t>:</w:t>
      </w:r>
      <w:r w:rsidR="000E070E" w:rsidRPr="00053245">
        <w:rPr>
          <w:sz w:val="28"/>
          <w:szCs w:val="28"/>
        </w:rPr>
        <w:t xml:space="preserve">   </w:t>
      </w:r>
      <w:r w:rsidR="009E3E78" w:rsidRPr="00053245">
        <w:rPr>
          <w:sz w:val="28"/>
          <w:szCs w:val="28"/>
        </w:rPr>
        <w:t xml:space="preserve">CIP </w:t>
      </w:r>
      <w:r w:rsidR="000E070E" w:rsidRPr="00053245">
        <w:rPr>
          <w:sz w:val="28"/>
          <w:szCs w:val="28"/>
        </w:rPr>
        <w:t>Portus</w:t>
      </w:r>
      <w:r w:rsidR="009E3E78" w:rsidRPr="00053245">
        <w:rPr>
          <w:sz w:val="28"/>
          <w:szCs w:val="28"/>
        </w:rPr>
        <w:t xml:space="preserve">: Interdisciplinary Fieldwork in Theory and Practice </w:t>
      </w:r>
      <w:r w:rsidR="000E070E" w:rsidRPr="00053245">
        <w:rPr>
          <w:sz w:val="28"/>
          <w:szCs w:val="28"/>
        </w:rPr>
        <w:t xml:space="preserve"> </w:t>
      </w:r>
    </w:p>
    <w:p w:rsidR="00956B40" w:rsidRPr="00053245" w:rsidRDefault="00956B40" w:rsidP="003C6FD5"/>
    <w:p w:rsidR="00956B40" w:rsidRPr="00053245" w:rsidRDefault="00956B40" w:rsidP="00CD794D"/>
    <w:tbl>
      <w:tblPr>
        <w:tblW w:w="9013" w:type="dxa"/>
        <w:tblInd w:w="-5" w:type="dxa"/>
        <w:tblLayout w:type="fixed"/>
        <w:tblLook w:val="0000"/>
      </w:tblPr>
      <w:tblGrid>
        <w:gridCol w:w="4788"/>
        <w:gridCol w:w="4225"/>
      </w:tblGrid>
      <w:tr w:rsidR="00053245" w:rsidRPr="00053245" w:rsidTr="008644C8">
        <w:tc>
          <w:tcPr>
            <w:tcW w:w="4788" w:type="dxa"/>
            <w:tcBorders>
              <w:top w:val="single" w:sz="4" w:space="0" w:color="808080"/>
              <w:left w:val="single" w:sz="4" w:space="0" w:color="808080"/>
              <w:bottom w:val="single" w:sz="4" w:space="0" w:color="808080"/>
            </w:tcBorders>
            <w:vAlign w:val="center"/>
          </w:tcPr>
          <w:p w:rsidR="00956B40" w:rsidRPr="00053245" w:rsidRDefault="00F11F8F" w:rsidP="003C6FD5">
            <w:r w:rsidRPr="00053245">
              <w:t>Faculty/Academic Unit</w:t>
            </w:r>
            <w:r w:rsidR="003C6FD5" w:rsidRPr="00053245">
              <w:t xml:space="preserve"> [responsibility for assessment etc]  </w:t>
            </w:r>
          </w:p>
        </w:tc>
        <w:tc>
          <w:tcPr>
            <w:tcW w:w="4225" w:type="dxa"/>
            <w:tcBorders>
              <w:top w:val="single" w:sz="4" w:space="0" w:color="808080"/>
              <w:left w:val="single" w:sz="4" w:space="0" w:color="808080"/>
              <w:bottom w:val="single" w:sz="4" w:space="0" w:color="808080"/>
              <w:right w:val="single" w:sz="4" w:space="0" w:color="808080"/>
            </w:tcBorders>
            <w:vAlign w:val="center"/>
          </w:tcPr>
          <w:p w:rsidR="00956B40" w:rsidRPr="00053245" w:rsidRDefault="006B19C7" w:rsidP="00DF02A3">
            <w:r w:rsidRPr="00053245">
              <w:t>Humanities/ Archaeology</w:t>
            </w:r>
          </w:p>
        </w:tc>
      </w:tr>
      <w:tr w:rsidR="00053245" w:rsidRPr="00053245" w:rsidTr="008644C8">
        <w:tc>
          <w:tcPr>
            <w:tcW w:w="4788" w:type="dxa"/>
            <w:tcBorders>
              <w:top w:val="single" w:sz="4" w:space="0" w:color="808080"/>
              <w:left w:val="single" w:sz="4" w:space="0" w:color="808080"/>
              <w:bottom w:val="single" w:sz="4" w:space="0" w:color="808080"/>
            </w:tcBorders>
            <w:vAlign w:val="center"/>
          </w:tcPr>
          <w:p w:rsidR="005A15F4" w:rsidRPr="00053245" w:rsidRDefault="005A15F4" w:rsidP="003C6FD5">
            <w:r w:rsidRPr="00053245">
              <w:t>Other Faculty/Academic Units involved with the delivery and development of the module</w:t>
            </w:r>
          </w:p>
        </w:tc>
        <w:tc>
          <w:tcPr>
            <w:tcW w:w="4225" w:type="dxa"/>
            <w:tcBorders>
              <w:top w:val="single" w:sz="4" w:space="0" w:color="808080"/>
              <w:left w:val="single" w:sz="4" w:space="0" w:color="808080"/>
              <w:bottom w:val="single" w:sz="4" w:space="0" w:color="808080"/>
              <w:right w:val="single" w:sz="4" w:space="0" w:color="808080"/>
            </w:tcBorders>
            <w:vAlign w:val="center"/>
          </w:tcPr>
          <w:p w:rsidR="005A15F4" w:rsidRPr="00053245" w:rsidRDefault="002449EF" w:rsidP="009E3E78">
            <w:r w:rsidRPr="00053245">
              <w:t xml:space="preserve"> </w:t>
            </w:r>
            <w:r w:rsidR="00D031CE" w:rsidRPr="00053245">
              <w:t>None</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9F7D94">
            <w:pPr>
              <w:spacing w:line="480" w:lineRule="auto"/>
            </w:pPr>
            <w:r w:rsidRPr="00053245">
              <w:t>Credit Points</w:t>
            </w:r>
          </w:p>
        </w:tc>
        <w:tc>
          <w:tcPr>
            <w:tcW w:w="4225" w:type="dxa"/>
            <w:tcBorders>
              <w:left w:val="single" w:sz="4" w:space="0" w:color="808080"/>
              <w:bottom w:val="single" w:sz="4" w:space="0" w:color="808080"/>
              <w:right w:val="single" w:sz="4" w:space="0" w:color="808080"/>
            </w:tcBorders>
            <w:vAlign w:val="center"/>
          </w:tcPr>
          <w:p w:rsidR="00956B40" w:rsidRPr="00053245" w:rsidRDefault="00F11F8F" w:rsidP="009F7D94">
            <w:pPr>
              <w:spacing w:line="480" w:lineRule="auto"/>
            </w:pPr>
            <w:r w:rsidRPr="00053245">
              <w:t>15 CATS</w:t>
            </w:r>
            <w:r w:rsidR="00282FF2" w:rsidRPr="00053245">
              <w:t xml:space="preserve"> </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CD794D">
            <w:pPr>
              <w:spacing w:line="480" w:lineRule="auto"/>
            </w:pPr>
            <w:r w:rsidRPr="00053245">
              <w:t>Level (</w:t>
            </w:r>
            <w:r w:rsidR="00022193" w:rsidRPr="00053245">
              <w:t>4, 5, 6, 7 or 8 in the FHEQ</w:t>
            </w:r>
            <w:r w:rsidRPr="00053245">
              <w:t>)</w:t>
            </w:r>
          </w:p>
        </w:tc>
        <w:tc>
          <w:tcPr>
            <w:tcW w:w="4225" w:type="dxa"/>
            <w:tcBorders>
              <w:left w:val="single" w:sz="4" w:space="0" w:color="808080"/>
              <w:bottom w:val="single" w:sz="4" w:space="0" w:color="808080"/>
              <w:right w:val="single" w:sz="4" w:space="0" w:color="808080"/>
            </w:tcBorders>
            <w:vAlign w:val="center"/>
          </w:tcPr>
          <w:p w:rsidR="00956B40" w:rsidRPr="00053245" w:rsidRDefault="005B1B97" w:rsidP="00CD794D">
            <w:pPr>
              <w:spacing w:line="480" w:lineRule="auto"/>
            </w:pPr>
            <w:r w:rsidRPr="00053245">
              <w:t>5</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CD794D">
            <w:pPr>
              <w:spacing w:line="480" w:lineRule="auto"/>
            </w:pPr>
            <w:r w:rsidRPr="00053245">
              <w:t>Any pre-requisite a</w:t>
            </w:r>
            <w:r w:rsidR="009F7D94" w:rsidRPr="00053245">
              <w:t>nd/or co-</w:t>
            </w:r>
            <w:r w:rsidR="00C74B24" w:rsidRPr="00053245">
              <w:t>requisite m</w:t>
            </w:r>
            <w:r w:rsidRPr="00053245">
              <w:t>odules</w:t>
            </w:r>
          </w:p>
        </w:tc>
        <w:tc>
          <w:tcPr>
            <w:tcW w:w="4225" w:type="dxa"/>
            <w:tcBorders>
              <w:left w:val="single" w:sz="4" w:space="0" w:color="808080"/>
              <w:bottom w:val="single" w:sz="4" w:space="0" w:color="808080"/>
              <w:right w:val="single" w:sz="4" w:space="0" w:color="808080"/>
            </w:tcBorders>
            <w:vAlign w:val="center"/>
          </w:tcPr>
          <w:p w:rsidR="00956B40" w:rsidRPr="00053245" w:rsidRDefault="00F11F8F" w:rsidP="00CD794D">
            <w:pPr>
              <w:spacing w:line="480" w:lineRule="auto"/>
            </w:pPr>
            <w:r w:rsidRPr="00053245">
              <w:t>None</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CD794D">
            <w:pPr>
              <w:spacing w:line="480" w:lineRule="auto"/>
            </w:pPr>
            <w:r w:rsidRPr="00053245">
              <w:t>Programmes in which the module is core</w:t>
            </w:r>
          </w:p>
        </w:tc>
        <w:tc>
          <w:tcPr>
            <w:tcW w:w="4225" w:type="dxa"/>
            <w:tcBorders>
              <w:left w:val="single" w:sz="4" w:space="0" w:color="808080"/>
              <w:bottom w:val="single" w:sz="4" w:space="0" w:color="808080"/>
              <w:right w:val="single" w:sz="4" w:space="0" w:color="808080"/>
            </w:tcBorders>
            <w:vAlign w:val="center"/>
          </w:tcPr>
          <w:p w:rsidR="00956B40" w:rsidRPr="00053245" w:rsidRDefault="00F11F8F" w:rsidP="00CD794D">
            <w:pPr>
              <w:spacing w:line="480" w:lineRule="auto"/>
            </w:pPr>
            <w:r w:rsidRPr="00053245">
              <w:t>None</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5A15F4" w:rsidP="00CD794D">
            <w:pPr>
              <w:spacing w:line="480" w:lineRule="auto"/>
            </w:pPr>
            <w:r w:rsidRPr="00053245">
              <w:t>Module coordinator</w:t>
            </w:r>
            <w:r w:rsidR="003C6FD5" w:rsidRPr="00053245">
              <w:t xml:space="preserve">/developer </w:t>
            </w:r>
          </w:p>
        </w:tc>
        <w:tc>
          <w:tcPr>
            <w:tcW w:w="4225" w:type="dxa"/>
            <w:tcBorders>
              <w:left w:val="single" w:sz="4" w:space="0" w:color="808080"/>
              <w:bottom w:val="single" w:sz="4" w:space="0" w:color="808080"/>
              <w:right w:val="single" w:sz="4" w:space="0" w:color="808080"/>
            </w:tcBorders>
            <w:vAlign w:val="center"/>
          </w:tcPr>
          <w:p w:rsidR="00956B40" w:rsidRPr="00053245" w:rsidRDefault="006B19C7" w:rsidP="00D6616E">
            <w:pPr>
              <w:rPr>
                <w:rFonts w:ascii="Arial" w:hAnsi="Arial" w:cs="Arial"/>
              </w:rPr>
            </w:pPr>
            <w:r w:rsidRPr="00053245">
              <w:t>Dragana Mladenovi</w:t>
            </w:r>
            <w:r w:rsidRPr="00053245">
              <w:rPr>
                <w:rFonts w:ascii="Arial" w:hAnsi="Arial" w:cs="Arial" w:hint="eastAsia"/>
              </w:rPr>
              <w:t>ć</w:t>
            </w:r>
            <w:r w:rsidRPr="00053245">
              <w:t xml:space="preserve">, </w:t>
            </w:r>
            <w:r w:rsidR="00D6616E" w:rsidRPr="00053245">
              <w:t xml:space="preserve">Simon </w:t>
            </w:r>
            <w:proofErr w:type="spellStart"/>
            <w:r w:rsidR="00D6616E" w:rsidRPr="00053245">
              <w:t>Keay</w:t>
            </w:r>
            <w:proofErr w:type="spellEnd"/>
            <w:r w:rsidR="00D6616E" w:rsidRPr="00053245">
              <w:t xml:space="preserve">, </w:t>
            </w:r>
            <w:r w:rsidR="004F4764" w:rsidRPr="00053245">
              <w:t>Graeme Earl</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CD794D">
            <w:pPr>
              <w:spacing w:line="480" w:lineRule="auto"/>
            </w:pPr>
            <w:r w:rsidRPr="00053245">
              <w:t>Contact hours</w:t>
            </w:r>
          </w:p>
        </w:tc>
        <w:tc>
          <w:tcPr>
            <w:tcW w:w="4225" w:type="dxa"/>
            <w:tcBorders>
              <w:left w:val="single" w:sz="4" w:space="0" w:color="808080"/>
              <w:bottom w:val="single" w:sz="4" w:space="0" w:color="808080"/>
              <w:right w:val="single" w:sz="4" w:space="0" w:color="808080"/>
            </w:tcBorders>
            <w:vAlign w:val="center"/>
          </w:tcPr>
          <w:p w:rsidR="00956B40" w:rsidRPr="00053245" w:rsidRDefault="00F64A40" w:rsidP="00F64A40">
            <w:r w:rsidRPr="00053245">
              <w:t>Around</w:t>
            </w:r>
            <w:r w:rsidR="0053685E" w:rsidRPr="00053245">
              <w:t xml:space="preserve"> 1</w:t>
            </w:r>
            <w:r w:rsidRPr="00053245">
              <w:t>2</w:t>
            </w:r>
            <w:r w:rsidR="0053685E" w:rsidRPr="00053245">
              <w:t>0</w:t>
            </w:r>
            <w:r w:rsidRPr="00053245">
              <w:t>. 7 hours per working day on site, plus 5h per weekend for site and museum visits. D</w:t>
            </w:r>
            <w:r w:rsidR="003439FE" w:rsidRPr="00053245">
              <w:t>ue to continuous contact over the duration of the field</w:t>
            </w:r>
            <w:r w:rsidR="006B19C7" w:rsidRPr="00053245">
              <w:t xml:space="preserve"> </w:t>
            </w:r>
            <w:r w:rsidR="003439FE" w:rsidRPr="00053245">
              <w:t>school the actual number is hard to assess</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CD794D">
            <w:pPr>
              <w:spacing w:line="480" w:lineRule="auto"/>
            </w:pPr>
            <w:r w:rsidRPr="00053245">
              <w:t>Non-contact hours</w:t>
            </w:r>
          </w:p>
        </w:tc>
        <w:tc>
          <w:tcPr>
            <w:tcW w:w="4225" w:type="dxa"/>
            <w:tcBorders>
              <w:left w:val="single" w:sz="4" w:space="0" w:color="808080"/>
              <w:bottom w:val="single" w:sz="4" w:space="0" w:color="808080"/>
              <w:right w:val="single" w:sz="4" w:space="0" w:color="808080"/>
            </w:tcBorders>
            <w:vAlign w:val="center"/>
          </w:tcPr>
          <w:p w:rsidR="00956B40" w:rsidRPr="00053245" w:rsidRDefault="00F64A40" w:rsidP="00D031CE">
            <w:pPr>
              <w:rPr>
                <w:b/>
                <w:bCs/>
              </w:rPr>
            </w:pPr>
            <w:r w:rsidRPr="00053245">
              <w:t>20</w:t>
            </w:r>
            <w:r w:rsidR="00F17AC0" w:rsidRPr="00053245">
              <w:t xml:space="preserve"> for forum participation, and </w:t>
            </w:r>
            <w:r w:rsidRPr="00053245">
              <w:t>20</w:t>
            </w:r>
            <w:r w:rsidR="00DF02A3" w:rsidRPr="00053245">
              <w:t xml:space="preserve"> for </w:t>
            </w:r>
            <w:r w:rsidR="00D031CE" w:rsidRPr="00053245">
              <w:t>preparation of the Fieldwork Report</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956B40" w:rsidP="00CD794D">
            <w:pPr>
              <w:spacing w:line="480" w:lineRule="auto"/>
            </w:pPr>
            <w:r w:rsidRPr="00053245">
              <w:t>Total study time</w:t>
            </w:r>
          </w:p>
        </w:tc>
        <w:tc>
          <w:tcPr>
            <w:tcW w:w="4225" w:type="dxa"/>
            <w:tcBorders>
              <w:left w:val="single" w:sz="4" w:space="0" w:color="808080"/>
              <w:bottom w:val="single" w:sz="4" w:space="0" w:color="808080"/>
              <w:right w:val="single" w:sz="4" w:space="0" w:color="808080"/>
            </w:tcBorders>
            <w:vAlign w:val="center"/>
          </w:tcPr>
          <w:p w:rsidR="00956B40" w:rsidRPr="00053245" w:rsidRDefault="00F64A40" w:rsidP="00CD794D">
            <w:pPr>
              <w:spacing w:line="480" w:lineRule="auto"/>
              <w:rPr>
                <w:bCs/>
              </w:rPr>
            </w:pPr>
            <w:r w:rsidRPr="00053245">
              <w:rPr>
                <w:bCs/>
              </w:rPr>
              <w:t>c. 16</w:t>
            </w:r>
            <w:r w:rsidR="00F17AC0" w:rsidRPr="00053245">
              <w:rPr>
                <w:bCs/>
              </w:rPr>
              <w:t>0 hours</w:t>
            </w:r>
          </w:p>
        </w:tc>
      </w:tr>
      <w:tr w:rsidR="00053245" w:rsidRPr="00053245" w:rsidTr="008644C8">
        <w:tc>
          <w:tcPr>
            <w:tcW w:w="4788" w:type="dxa"/>
            <w:tcBorders>
              <w:left w:val="single" w:sz="4" w:space="0" w:color="808080"/>
              <w:bottom w:val="single" w:sz="4" w:space="0" w:color="808080"/>
            </w:tcBorders>
            <w:vAlign w:val="center"/>
          </w:tcPr>
          <w:p w:rsidR="00956B40" w:rsidRPr="00053245" w:rsidRDefault="00F11F8F" w:rsidP="00CD794D">
            <w:pPr>
              <w:spacing w:line="480" w:lineRule="auto"/>
            </w:pPr>
            <w:r w:rsidRPr="00053245">
              <w:t xml:space="preserve">Date approved by Faculty Programme Committee </w:t>
            </w:r>
          </w:p>
        </w:tc>
        <w:tc>
          <w:tcPr>
            <w:tcW w:w="4225" w:type="dxa"/>
            <w:tcBorders>
              <w:left w:val="single" w:sz="4" w:space="0" w:color="808080"/>
              <w:bottom w:val="single" w:sz="4" w:space="0" w:color="808080"/>
              <w:right w:val="single" w:sz="4" w:space="0" w:color="808080"/>
            </w:tcBorders>
            <w:vAlign w:val="center"/>
          </w:tcPr>
          <w:p w:rsidR="00956B40" w:rsidRPr="00053245" w:rsidRDefault="00C630F7" w:rsidP="00607FDA">
            <w:pPr>
              <w:rPr>
                <w:bCs/>
              </w:rPr>
            </w:pPr>
            <w:r w:rsidRPr="00053245">
              <w:rPr>
                <w:bCs/>
              </w:rPr>
              <w:t>16</w:t>
            </w:r>
            <w:r w:rsidRPr="00053245">
              <w:rPr>
                <w:bCs/>
                <w:vertAlign w:val="superscript"/>
              </w:rPr>
              <w:t>th</w:t>
            </w:r>
            <w:r w:rsidRPr="00053245">
              <w:rPr>
                <w:bCs/>
              </w:rPr>
              <w:t xml:space="preserve"> January 2013</w:t>
            </w:r>
            <w:r w:rsidR="00607FDA" w:rsidRPr="00053245">
              <w:rPr>
                <w:bCs/>
              </w:rPr>
              <w:t>; revised version approved 30/10/13</w:t>
            </w:r>
          </w:p>
        </w:tc>
      </w:tr>
    </w:tbl>
    <w:p w:rsidR="00956B40" w:rsidRPr="00053245" w:rsidRDefault="00956B40" w:rsidP="00CD794D"/>
    <w:p w:rsidR="003C6FD5" w:rsidRPr="00053245" w:rsidRDefault="003C6FD5" w:rsidP="00CD794D">
      <w:pPr>
        <w:pStyle w:val="QAhandbookheading1"/>
      </w:pPr>
    </w:p>
    <w:p w:rsidR="00956B40" w:rsidRPr="00053245" w:rsidRDefault="00956B40" w:rsidP="00CD794D">
      <w:pPr>
        <w:pStyle w:val="QAhandbookheading1"/>
        <w:rPr>
          <w:sz w:val="28"/>
          <w:szCs w:val="28"/>
        </w:rPr>
      </w:pPr>
      <w:r w:rsidRPr="00053245">
        <w:rPr>
          <w:sz w:val="28"/>
          <w:szCs w:val="28"/>
        </w:rPr>
        <w:t>Aims and learning outcomes</w:t>
      </w:r>
    </w:p>
    <w:p w:rsidR="00B34D1A" w:rsidRPr="00053245" w:rsidRDefault="00EF5E1F" w:rsidP="00CD794D">
      <w:r>
        <w:pict>
          <v:rect id="_x0000_i1026" style="width:0;height:1.5pt" o:hralign="center" o:hrstd="t" o:hr="t" fillcolor="#aca899" stroked="f"/>
        </w:pict>
      </w:r>
    </w:p>
    <w:p w:rsidR="00956B40" w:rsidRPr="00053245" w:rsidRDefault="00C74B24" w:rsidP="00C74B24">
      <w:pPr>
        <w:rPr>
          <w:b/>
          <w:bCs/>
          <w:sz w:val="20"/>
          <w:szCs w:val="20"/>
          <w:u w:val="single"/>
        </w:rPr>
      </w:pPr>
      <w:r w:rsidRPr="00053245">
        <w:rPr>
          <w:b/>
          <w:bCs/>
          <w:sz w:val="32"/>
          <w:szCs w:val="32"/>
          <w:u w:val="single"/>
        </w:rPr>
        <w:t>*</w:t>
      </w:r>
      <w:r w:rsidR="00B34D1A" w:rsidRPr="00053245">
        <w:rPr>
          <w:b/>
          <w:bCs/>
          <w:sz w:val="20"/>
          <w:szCs w:val="20"/>
          <w:u w:val="single"/>
        </w:rPr>
        <w:t>D</w:t>
      </w:r>
      <w:r w:rsidR="00956B40" w:rsidRPr="00053245">
        <w:rPr>
          <w:b/>
          <w:bCs/>
          <w:sz w:val="20"/>
          <w:szCs w:val="20"/>
          <w:u w:val="single"/>
        </w:rPr>
        <w:t>escription</w:t>
      </w:r>
      <w:r w:rsidR="00453EB5" w:rsidRPr="00053245">
        <w:rPr>
          <w:b/>
          <w:bCs/>
          <w:sz w:val="20"/>
          <w:szCs w:val="20"/>
          <w:u w:val="single"/>
        </w:rPr>
        <w:t xml:space="preserve"> and Aims</w:t>
      </w:r>
    </w:p>
    <w:p w:rsidR="00F11F8F" w:rsidRPr="00053245" w:rsidRDefault="00F11F8F" w:rsidP="00CD794D">
      <w:pPr>
        <w:rPr>
          <w:b/>
          <w:bCs/>
          <w:sz w:val="20"/>
          <w:szCs w:val="20"/>
          <w:highlight w:val="yellow"/>
          <w:u w:val="single"/>
        </w:rPr>
      </w:pPr>
    </w:p>
    <w:p w:rsidR="00895F2F" w:rsidRPr="00053245" w:rsidRDefault="00895F2F" w:rsidP="00895F2F">
      <w:pPr>
        <w:rPr>
          <w:sz w:val="20"/>
          <w:szCs w:val="20"/>
        </w:rPr>
      </w:pPr>
      <w:r w:rsidRPr="00053245">
        <w:rPr>
          <w:sz w:val="20"/>
          <w:szCs w:val="20"/>
        </w:rPr>
        <w:t xml:space="preserve">The </w:t>
      </w:r>
      <w:r w:rsidR="009E3E78" w:rsidRPr="00053245">
        <w:rPr>
          <w:sz w:val="20"/>
          <w:szCs w:val="20"/>
        </w:rPr>
        <w:t>CIP Portus module</w:t>
      </w:r>
      <w:r w:rsidRPr="00053245">
        <w:rPr>
          <w:sz w:val="20"/>
          <w:szCs w:val="20"/>
        </w:rPr>
        <w:t xml:space="preserve"> will </w:t>
      </w:r>
      <w:r w:rsidR="008A4217" w:rsidRPr="00053245">
        <w:rPr>
          <w:sz w:val="20"/>
          <w:szCs w:val="20"/>
        </w:rPr>
        <w:t xml:space="preserve">be structured around online learning and a period of fieldwork in Italy. The fieldwork component will </w:t>
      </w:r>
      <w:r w:rsidRPr="00053245">
        <w:rPr>
          <w:sz w:val="20"/>
          <w:szCs w:val="20"/>
        </w:rPr>
        <w:t xml:space="preserve">be hosted by </w:t>
      </w:r>
      <w:r w:rsidR="008A4217" w:rsidRPr="00053245">
        <w:rPr>
          <w:sz w:val="20"/>
          <w:szCs w:val="20"/>
        </w:rPr>
        <w:t>the Portus Field S</w:t>
      </w:r>
      <w:r w:rsidR="009E3E78" w:rsidRPr="00053245">
        <w:rPr>
          <w:sz w:val="20"/>
          <w:szCs w:val="20"/>
        </w:rPr>
        <w:t xml:space="preserve">chool </w:t>
      </w:r>
      <w:r w:rsidR="008A4217" w:rsidRPr="00053245">
        <w:rPr>
          <w:sz w:val="20"/>
          <w:szCs w:val="20"/>
        </w:rPr>
        <w:t xml:space="preserve">which in turn forms </w:t>
      </w:r>
      <w:r w:rsidR="009E3E78" w:rsidRPr="00053245">
        <w:rPr>
          <w:sz w:val="20"/>
          <w:szCs w:val="20"/>
        </w:rPr>
        <w:t xml:space="preserve">part of </w:t>
      </w:r>
      <w:r w:rsidRPr="00053245">
        <w:rPr>
          <w:sz w:val="20"/>
          <w:szCs w:val="20"/>
        </w:rPr>
        <w:t>the Portus Project</w:t>
      </w:r>
      <w:r w:rsidR="009E3E78" w:rsidRPr="00053245">
        <w:rPr>
          <w:sz w:val="20"/>
          <w:szCs w:val="20"/>
        </w:rPr>
        <w:t>. The Portus Project was</w:t>
      </w:r>
      <w:r w:rsidRPr="00053245">
        <w:rPr>
          <w:sz w:val="20"/>
          <w:szCs w:val="20"/>
        </w:rPr>
        <w:t xml:space="preserve"> established six years ago with an aim to study the maritime port of Imperial Rome, Portus, located at the mouth of the Tiber (Italy). Led by the University of Southampton, the project is run as an international collaboration with a number of partners. Due to its academic excellence and cutting-edge innovation in fieldwork techniques, Portus is currently a leading Roman archaeology excavation recognized as such by prominent academic funding bodies and industrial partners, whose support it continues to enjoy, as well as wide media coverage. Members of the Portus Project team have a strong commitment to interdisciplinary research and to research-informed education. </w:t>
      </w:r>
      <w:r w:rsidR="009E3E78" w:rsidRPr="00053245">
        <w:rPr>
          <w:sz w:val="20"/>
          <w:szCs w:val="20"/>
        </w:rPr>
        <w:t>Now the Portus Project has extended its delivery of research informed teaching via a new</w:t>
      </w:r>
      <w:r w:rsidRPr="00053245">
        <w:rPr>
          <w:sz w:val="20"/>
          <w:szCs w:val="20"/>
        </w:rPr>
        <w:t xml:space="preserve"> field school</w:t>
      </w:r>
      <w:r w:rsidR="009E3E78" w:rsidRPr="00053245">
        <w:rPr>
          <w:sz w:val="20"/>
          <w:szCs w:val="20"/>
        </w:rPr>
        <w:t>. This</w:t>
      </w:r>
      <w:r w:rsidRPr="00053245">
        <w:rPr>
          <w:sz w:val="20"/>
          <w:szCs w:val="20"/>
        </w:rPr>
        <w:t xml:space="preserve"> provides a vehicle to leverage this expertise, a challenging and engaging learning environment, and the ability to learn interdisciplinary, team-based employability skills. </w:t>
      </w:r>
    </w:p>
    <w:p w:rsidR="00895F2F" w:rsidRPr="00053245" w:rsidRDefault="00895F2F" w:rsidP="00895F2F">
      <w:pPr>
        <w:rPr>
          <w:sz w:val="20"/>
          <w:szCs w:val="20"/>
        </w:rPr>
      </w:pPr>
    </w:p>
    <w:p w:rsidR="00CB67CD" w:rsidRPr="00053245" w:rsidRDefault="00895F2F" w:rsidP="00895F2F">
      <w:pPr>
        <w:rPr>
          <w:sz w:val="20"/>
          <w:szCs w:val="20"/>
        </w:rPr>
      </w:pPr>
      <w:r w:rsidRPr="00053245">
        <w:rPr>
          <w:sz w:val="20"/>
          <w:szCs w:val="20"/>
        </w:rPr>
        <w:lastRenderedPageBreak/>
        <w:t>Portus has already demonstrated value as an educational environment for UG and PGI archaeology students from Southampton and many other institutions. PGR students from disciplines including computer science, environmental sciences, natural sciences, and maritime studies have also benefitted. Th</w:t>
      </w:r>
      <w:r w:rsidR="008A4217" w:rsidRPr="00053245">
        <w:rPr>
          <w:sz w:val="20"/>
          <w:szCs w:val="20"/>
        </w:rPr>
        <w:t>e Portus Field School is</w:t>
      </w:r>
      <w:r w:rsidRPr="00053245">
        <w:rPr>
          <w:sz w:val="20"/>
          <w:szCs w:val="20"/>
        </w:rPr>
        <w:t xml:space="preserve"> support</w:t>
      </w:r>
      <w:r w:rsidR="008A4217" w:rsidRPr="00053245">
        <w:rPr>
          <w:sz w:val="20"/>
          <w:szCs w:val="20"/>
        </w:rPr>
        <w:t>ing</w:t>
      </w:r>
      <w:r w:rsidRPr="00053245">
        <w:rPr>
          <w:sz w:val="20"/>
          <w:szCs w:val="20"/>
        </w:rPr>
        <w:t xml:space="preserve"> </w:t>
      </w:r>
      <w:r w:rsidR="008A4217" w:rsidRPr="00053245">
        <w:rPr>
          <w:sz w:val="20"/>
          <w:szCs w:val="20"/>
        </w:rPr>
        <w:t>a new focus on</w:t>
      </w:r>
      <w:r w:rsidRPr="00053245">
        <w:rPr>
          <w:sz w:val="20"/>
          <w:szCs w:val="20"/>
        </w:rPr>
        <w:t xml:space="preserve"> research-informed education which is intended to continue for many years. In the first instance it will provide the framework for Southampton UG study via </w:t>
      </w:r>
      <w:r w:rsidR="008A4217" w:rsidRPr="00053245">
        <w:rPr>
          <w:sz w:val="20"/>
          <w:szCs w:val="20"/>
        </w:rPr>
        <w:t>this</w:t>
      </w:r>
      <w:r w:rsidRPr="00053245">
        <w:rPr>
          <w:sz w:val="20"/>
          <w:szCs w:val="20"/>
        </w:rPr>
        <w:t xml:space="preserve"> CIP module, archaeological field training</w:t>
      </w:r>
      <w:r w:rsidR="008A4217" w:rsidRPr="00053245">
        <w:rPr>
          <w:sz w:val="20"/>
          <w:szCs w:val="20"/>
        </w:rPr>
        <w:t xml:space="preserve"> for UG students</w:t>
      </w:r>
      <w:r w:rsidRPr="00053245">
        <w:rPr>
          <w:sz w:val="20"/>
          <w:szCs w:val="20"/>
        </w:rPr>
        <w:t xml:space="preserve">, </w:t>
      </w:r>
      <w:r w:rsidR="008A4217" w:rsidRPr="00053245">
        <w:rPr>
          <w:sz w:val="20"/>
          <w:szCs w:val="20"/>
        </w:rPr>
        <w:t xml:space="preserve">a case study for </w:t>
      </w:r>
      <w:r w:rsidRPr="00053245">
        <w:rPr>
          <w:sz w:val="20"/>
          <w:szCs w:val="20"/>
        </w:rPr>
        <w:t>MSc Archaeological Survey and Landscape</w:t>
      </w:r>
      <w:r w:rsidR="008A4217" w:rsidRPr="00053245">
        <w:rPr>
          <w:sz w:val="20"/>
          <w:szCs w:val="20"/>
        </w:rPr>
        <w:t xml:space="preserve"> students</w:t>
      </w:r>
      <w:r w:rsidRPr="00053245">
        <w:rPr>
          <w:sz w:val="20"/>
          <w:szCs w:val="20"/>
        </w:rPr>
        <w:t xml:space="preserve">, other opportunities for PGI and PGR students, and self-funded participation by overseas students from outside the University. </w:t>
      </w:r>
    </w:p>
    <w:p w:rsidR="00231691" w:rsidRPr="00053245" w:rsidRDefault="00231691" w:rsidP="00895F2F">
      <w:pPr>
        <w:rPr>
          <w:sz w:val="20"/>
          <w:szCs w:val="20"/>
        </w:rPr>
      </w:pPr>
    </w:p>
    <w:p w:rsidR="00231691" w:rsidRPr="00053245" w:rsidRDefault="00231691" w:rsidP="00231691">
      <w:pPr>
        <w:rPr>
          <w:sz w:val="20"/>
          <w:szCs w:val="20"/>
        </w:rPr>
      </w:pPr>
      <w:r w:rsidRPr="00053245">
        <w:rPr>
          <w:sz w:val="20"/>
          <w:szCs w:val="20"/>
        </w:rPr>
        <w:t xml:space="preserve">The </w:t>
      </w:r>
      <w:r w:rsidR="009E3E78" w:rsidRPr="00053245">
        <w:rPr>
          <w:sz w:val="20"/>
          <w:szCs w:val="20"/>
        </w:rPr>
        <w:t xml:space="preserve">CIP </w:t>
      </w:r>
      <w:r w:rsidRPr="00053245">
        <w:rPr>
          <w:sz w:val="20"/>
          <w:szCs w:val="20"/>
        </w:rPr>
        <w:t xml:space="preserve">Portus </w:t>
      </w:r>
      <w:r w:rsidR="009E3E78" w:rsidRPr="00053245">
        <w:rPr>
          <w:sz w:val="20"/>
          <w:szCs w:val="20"/>
        </w:rPr>
        <w:t>module</w:t>
      </w:r>
      <w:r w:rsidRPr="00053245">
        <w:rPr>
          <w:sz w:val="20"/>
          <w:szCs w:val="20"/>
        </w:rPr>
        <w:t xml:space="preserve"> will provide the opportunity for a new educational experience open to all students at the University, by offering hands-on, team-focused training in a variety of techniques used in modern archaeological fieldwork. The students will be exposed to techniques belonging to different scientific disciplines (including computing, geology, geophysics, biology), and research methods of social and human sciences (including history, classics, history of art), and will grow as interdisciplinary scholars and mediators – crucial skills in the modern world. This training will not be abstract but problem-based, demonstrating a power of multidisciplinary approaches in contemporary investigative research. By providing a framework within which students can relate their core disciplines to archaeological field practice, as well as the experience of working side-by-side with students with different expertise, the field school will enable all those involved to gain a deeper insight into their own and related disciplines, and experience a practical fieldwork environment. The module </w:t>
      </w:r>
      <w:r w:rsidR="003F5F92" w:rsidRPr="00053245">
        <w:rPr>
          <w:sz w:val="20"/>
          <w:szCs w:val="20"/>
        </w:rPr>
        <w:t>will</w:t>
      </w:r>
      <w:r w:rsidRPr="00053245">
        <w:rPr>
          <w:sz w:val="20"/>
          <w:szCs w:val="20"/>
        </w:rPr>
        <w:t xml:space="preserve"> be open to all </w:t>
      </w:r>
      <w:r w:rsidR="002D3E76" w:rsidRPr="00053245">
        <w:rPr>
          <w:sz w:val="20"/>
          <w:szCs w:val="20"/>
        </w:rPr>
        <w:t>1st</w:t>
      </w:r>
      <w:r w:rsidRPr="00053245">
        <w:rPr>
          <w:sz w:val="20"/>
          <w:szCs w:val="20"/>
          <w:vertAlign w:val="superscript"/>
        </w:rPr>
        <w:t>nd</w:t>
      </w:r>
      <w:r w:rsidRPr="00053245">
        <w:rPr>
          <w:sz w:val="20"/>
          <w:szCs w:val="20"/>
        </w:rPr>
        <w:t xml:space="preserve"> and </w:t>
      </w:r>
      <w:r w:rsidR="002D3E76" w:rsidRPr="00053245">
        <w:rPr>
          <w:sz w:val="20"/>
          <w:szCs w:val="20"/>
        </w:rPr>
        <w:t>2</w:t>
      </w:r>
      <w:r w:rsidR="002D3E76" w:rsidRPr="00053245">
        <w:rPr>
          <w:sz w:val="20"/>
          <w:szCs w:val="20"/>
          <w:vertAlign w:val="superscript"/>
        </w:rPr>
        <w:t>nd</w:t>
      </w:r>
      <w:r w:rsidR="002D3E76" w:rsidRPr="00053245">
        <w:rPr>
          <w:sz w:val="20"/>
          <w:szCs w:val="20"/>
        </w:rPr>
        <w:t xml:space="preserve"> </w:t>
      </w:r>
      <w:r w:rsidRPr="00053245">
        <w:rPr>
          <w:sz w:val="20"/>
          <w:szCs w:val="20"/>
        </w:rPr>
        <w:t>year student</w:t>
      </w:r>
      <w:r w:rsidR="002D3E76" w:rsidRPr="00053245">
        <w:rPr>
          <w:sz w:val="20"/>
          <w:szCs w:val="20"/>
        </w:rPr>
        <w:t>s</w:t>
      </w:r>
      <w:r w:rsidR="003D726B" w:rsidRPr="00053245">
        <w:rPr>
          <w:sz w:val="20"/>
          <w:szCs w:val="20"/>
        </w:rPr>
        <w:t>.</w:t>
      </w:r>
      <w:r w:rsidRPr="00053245">
        <w:rPr>
          <w:sz w:val="20"/>
          <w:szCs w:val="20"/>
        </w:rPr>
        <w:t xml:space="preserve"> </w:t>
      </w:r>
      <w:r w:rsidR="003D726B" w:rsidRPr="00053245">
        <w:rPr>
          <w:sz w:val="20"/>
          <w:szCs w:val="20"/>
        </w:rPr>
        <w:t xml:space="preserve">Students will be required to dedicate time to background reading and participation in the online forum in semester two prior to the summer </w:t>
      </w:r>
      <w:proofErr w:type="gramStart"/>
      <w:r w:rsidR="002D3E76" w:rsidRPr="00053245">
        <w:rPr>
          <w:sz w:val="20"/>
          <w:szCs w:val="20"/>
        </w:rPr>
        <w:t>fieldwork,</w:t>
      </w:r>
      <w:proofErr w:type="gramEnd"/>
      <w:r w:rsidR="002D3E76" w:rsidRPr="00053245">
        <w:rPr>
          <w:sz w:val="20"/>
          <w:szCs w:val="20"/>
        </w:rPr>
        <w:t xml:space="preserve"> and t</w:t>
      </w:r>
      <w:r w:rsidR="003D726B" w:rsidRPr="00053245">
        <w:rPr>
          <w:sz w:val="20"/>
          <w:szCs w:val="20"/>
        </w:rPr>
        <w:t xml:space="preserve">he final assessment will be submitted </w:t>
      </w:r>
      <w:r w:rsidR="002D3E76" w:rsidRPr="00053245">
        <w:rPr>
          <w:sz w:val="20"/>
          <w:szCs w:val="20"/>
        </w:rPr>
        <w:t>after that fieldwork has been completed</w:t>
      </w:r>
      <w:r w:rsidRPr="00053245">
        <w:rPr>
          <w:sz w:val="20"/>
          <w:szCs w:val="20"/>
        </w:rPr>
        <w:t>.</w:t>
      </w:r>
      <w:r w:rsidR="00621A32" w:rsidRPr="00053245">
        <w:rPr>
          <w:rFonts w:ascii="Times New Roman" w:hAnsi="Times New Roman"/>
          <w:sz w:val="24"/>
        </w:rPr>
        <w:t xml:space="preserve"> </w:t>
      </w:r>
      <w:r w:rsidR="00621A32" w:rsidRPr="00053245">
        <w:rPr>
          <w:sz w:val="20"/>
          <w:szCs w:val="20"/>
        </w:rPr>
        <w:t>The students will receive a mark at the end of the summer, and this mark will count towards the</w:t>
      </w:r>
      <w:r w:rsidR="00BA1594" w:rsidRPr="00053245">
        <w:rPr>
          <w:sz w:val="20"/>
          <w:szCs w:val="20"/>
        </w:rPr>
        <w:t>ir next</w:t>
      </w:r>
      <w:r w:rsidR="00621A32" w:rsidRPr="00053245">
        <w:rPr>
          <w:sz w:val="20"/>
          <w:szCs w:val="20"/>
        </w:rPr>
        <w:t xml:space="preserve"> </w:t>
      </w:r>
      <w:r w:rsidR="00BA1594" w:rsidRPr="00053245">
        <w:rPr>
          <w:sz w:val="20"/>
          <w:szCs w:val="20"/>
        </w:rPr>
        <w:t>year of study</w:t>
      </w:r>
      <w:r w:rsidR="00621A32" w:rsidRPr="00053245">
        <w:rPr>
          <w:sz w:val="20"/>
          <w:szCs w:val="20"/>
        </w:rPr>
        <w:t>.</w:t>
      </w:r>
      <w:r w:rsidR="003D726B" w:rsidRPr="00053245">
        <w:rPr>
          <w:sz w:val="20"/>
          <w:szCs w:val="20"/>
        </w:rPr>
        <w:t xml:space="preserve"> </w:t>
      </w:r>
    </w:p>
    <w:p w:rsidR="00162416" w:rsidRPr="00053245" w:rsidRDefault="00162416" w:rsidP="00273333">
      <w:pPr>
        <w:rPr>
          <w:sz w:val="20"/>
          <w:szCs w:val="20"/>
        </w:rPr>
      </w:pPr>
    </w:p>
    <w:p w:rsidR="00246382" w:rsidRPr="00053245" w:rsidRDefault="00C74B24" w:rsidP="00246382">
      <w:pPr>
        <w:rPr>
          <w:rFonts w:cs="Arial"/>
          <w:b/>
          <w:sz w:val="20"/>
          <w:szCs w:val="20"/>
          <w:u w:val="single"/>
        </w:rPr>
      </w:pPr>
      <w:r w:rsidRPr="00053245">
        <w:rPr>
          <w:rFonts w:cs="Arial"/>
          <w:b/>
          <w:sz w:val="32"/>
          <w:szCs w:val="32"/>
          <w:u w:val="single"/>
        </w:rPr>
        <w:t>*</w:t>
      </w:r>
      <w:r w:rsidR="00453EB5" w:rsidRPr="00053245">
        <w:rPr>
          <w:rFonts w:cs="Arial"/>
          <w:b/>
          <w:sz w:val="20"/>
          <w:szCs w:val="20"/>
          <w:u w:val="single"/>
        </w:rPr>
        <w:t>Learning Outcomes</w:t>
      </w:r>
    </w:p>
    <w:p w:rsidR="00F11F8F" w:rsidRPr="00053245" w:rsidRDefault="00F11F8F" w:rsidP="00246382">
      <w:pPr>
        <w:rPr>
          <w:rFonts w:cs="Arial"/>
          <w:b/>
          <w:sz w:val="20"/>
          <w:szCs w:val="20"/>
          <w:highlight w:val="yellow"/>
          <w:u w:val="single"/>
        </w:rPr>
      </w:pPr>
    </w:p>
    <w:p w:rsidR="00162416" w:rsidRPr="00053245" w:rsidRDefault="00162416" w:rsidP="00162416">
      <w:pPr>
        <w:rPr>
          <w:sz w:val="20"/>
          <w:szCs w:val="20"/>
        </w:rPr>
      </w:pPr>
      <w:r w:rsidRPr="00053245">
        <w:rPr>
          <w:sz w:val="20"/>
          <w:szCs w:val="20"/>
        </w:rPr>
        <w:t>The academic content of the programme is primarily concerned with Roman imperial history and material culture</w:t>
      </w:r>
      <w:r w:rsidR="003D726B" w:rsidRPr="00053245">
        <w:rPr>
          <w:sz w:val="20"/>
          <w:szCs w:val="20"/>
        </w:rPr>
        <w:t xml:space="preserve"> and archaeological field practice</w:t>
      </w:r>
      <w:r w:rsidRPr="00053245">
        <w:rPr>
          <w:sz w:val="20"/>
          <w:szCs w:val="20"/>
        </w:rPr>
        <w:t xml:space="preserve">, with a particular reference to supply and harbour systems of the city of Rome. Fieldwork training will focus is on </w:t>
      </w:r>
      <w:r w:rsidR="003D726B" w:rsidRPr="00053245">
        <w:rPr>
          <w:sz w:val="20"/>
          <w:szCs w:val="20"/>
        </w:rPr>
        <w:t xml:space="preserve">theories, </w:t>
      </w:r>
      <w:r w:rsidRPr="00053245">
        <w:rPr>
          <w:sz w:val="20"/>
          <w:szCs w:val="20"/>
        </w:rPr>
        <w:t>techniques and strategies of survey and excavation, archaeological stratigraphy, sampling procedures, field data collection and recording methods, documentation and report preparation. Students will also learn to map, recover, catalogue, and process archaeological artifacts.</w:t>
      </w:r>
    </w:p>
    <w:p w:rsidR="00162416" w:rsidRPr="00053245" w:rsidRDefault="00162416" w:rsidP="00C51FE2">
      <w:pPr>
        <w:rPr>
          <w:rFonts w:cs="Arial"/>
          <w:sz w:val="20"/>
          <w:szCs w:val="20"/>
        </w:rPr>
      </w:pPr>
    </w:p>
    <w:p w:rsidR="00AB2E32" w:rsidRPr="00053245" w:rsidRDefault="00CD07A6" w:rsidP="00C51FE2">
      <w:pPr>
        <w:rPr>
          <w:rFonts w:cs="Arial"/>
          <w:sz w:val="20"/>
          <w:szCs w:val="20"/>
        </w:rPr>
      </w:pPr>
      <w:r w:rsidRPr="00053245">
        <w:rPr>
          <w:rFonts w:cs="Arial"/>
          <w:sz w:val="20"/>
          <w:szCs w:val="20"/>
        </w:rPr>
        <w:t xml:space="preserve">Having successfully completed this module, </w:t>
      </w:r>
      <w:r w:rsidR="00AB2E32" w:rsidRPr="00053245">
        <w:rPr>
          <w:rFonts w:cs="Arial"/>
          <w:sz w:val="20"/>
          <w:szCs w:val="20"/>
        </w:rPr>
        <w:t xml:space="preserve">students should </w:t>
      </w:r>
      <w:r w:rsidR="00FC4BD1" w:rsidRPr="00053245">
        <w:rPr>
          <w:rFonts w:cs="Arial"/>
          <w:sz w:val="20"/>
          <w:szCs w:val="20"/>
        </w:rPr>
        <w:t>gain</w:t>
      </w:r>
      <w:r w:rsidR="00AB2E32" w:rsidRPr="00053245">
        <w:rPr>
          <w:rFonts w:cs="Arial"/>
          <w:sz w:val="20"/>
          <w:szCs w:val="20"/>
        </w:rPr>
        <w:t>:</w:t>
      </w:r>
    </w:p>
    <w:p w:rsidR="00AB2E32" w:rsidRPr="00053245" w:rsidRDefault="00AB2E32" w:rsidP="00C51FE2">
      <w:pPr>
        <w:rPr>
          <w:rFonts w:cs="Arial"/>
          <w:sz w:val="20"/>
          <w:szCs w:val="20"/>
        </w:rPr>
      </w:pPr>
    </w:p>
    <w:p w:rsidR="00AB2E32" w:rsidRPr="00053245" w:rsidRDefault="008766C6" w:rsidP="0091283F">
      <w:pPr>
        <w:numPr>
          <w:ilvl w:val="0"/>
          <w:numId w:val="26"/>
        </w:numPr>
        <w:rPr>
          <w:sz w:val="20"/>
          <w:szCs w:val="20"/>
        </w:rPr>
      </w:pPr>
      <w:r w:rsidRPr="00053245">
        <w:rPr>
          <w:rFonts w:cs="Arial"/>
          <w:sz w:val="20"/>
          <w:szCs w:val="20"/>
        </w:rPr>
        <w:t xml:space="preserve">basic </w:t>
      </w:r>
      <w:r w:rsidR="00AB2E32" w:rsidRPr="00053245">
        <w:rPr>
          <w:rFonts w:cs="Arial"/>
          <w:sz w:val="20"/>
          <w:szCs w:val="20"/>
        </w:rPr>
        <w:t xml:space="preserve">competence in </w:t>
      </w:r>
      <w:r w:rsidR="004B770D" w:rsidRPr="00053245">
        <w:rPr>
          <w:sz w:val="20"/>
          <w:szCs w:val="20"/>
        </w:rPr>
        <w:t>archaeological field techniques and site recording methods</w:t>
      </w:r>
    </w:p>
    <w:p w:rsidR="008F735E" w:rsidRPr="00053245" w:rsidRDefault="008F735E" w:rsidP="0091283F">
      <w:pPr>
        <w:numPr>
          <w:ilvl w:val="0"/>
          <w:numId w:val="26"/>
        </w:numPr>
        <w:rPr>
          <w:rFonts w:cs="Arial"/>
          <w:sz w:val="20"/>
          <w:szCs w:val="20"/>
        </w:rPr>
      </w:pPr>
      <w:r w:rsidRPr="00053245">
        <w:rPr>
          <w:sz w:val="20"/>
          <w:szCs w:val="20"/>
        </w:rPr>
        <w:t xml:space="preserve">experience of </w:t>
      </w:r>
      <w:r w:rsidRPr="00053245">
        <w:rPr>
          <w:rFonts w:cs="Arial"/>
          <w:sz w:val="20"/>
          <w:szCs w:val="20"/>
        </w:rPr>
        <w:t>everyday practices of archaeological practices and interpretation</w:t>
      </w:r>
    </w:p>
    <w:p w:rsidR="004B770D" w:rsidRPr="00053245" w:rsidRDefault="00CD07A6" w:rsidP="0091283F">
      <w:pPr>
        <w:numPr>
          <w:ilvl w:val="0"/>
          <w:numId w:val="26"/>
        </w:numPr>
        <w:rPr>
          <w:rFonts w:cs="Arial"/>
          <w:sz w:val="20"/>
          <w:szCs w:val="20"/>
        </w:rPr>
      </w:pPr>
      <w:r w:rsidRPr="00053245">
        <w:rPr>
          <w:rFonts w:cs="Arial"/>
          <w:sz w:val="20"/>
          <w:szCs w:val="20"/>
        </w:rPr>
        <w:t xml:space="preserve">enhanced understanding of archaeological excavation reports that provide the foundation </w:t>
      </w:r>
      <w:r w:rsidR="004B770D" w:rsidRPr="00053245">
        <w:rPr>
          <w:rFonts w:cs="Arial"/>
          <w:sz w:val="20"/>
          <w:szCs w:val="20"/>
        </w:rPr>
        <w:t>of research in this discipline</w:t>
      </w:r>
    </w:p>
    <w:p w:rsidR="008F735E" w:rsidRPr="00053245" w:rsidRDefault="008F735E" w:rsidP="0091283F">
      <w:pPr>
        <w:numPr>
          <w:ilvl w:val="0"/>
          <w:numId w:val="26"/>
        </w:numPr>
        <w:rPr>
          <w:sz w:val="20"/>
          <w:szCs w:val="20"/>
        </w:rPr>
      </w:pPr>
      <w:r w:rsidRPr="00053245">
        <w:rPr>
          <w:sz w:val="20"/>
          <w:szCs w:val="20"/>
        </w:rPr>
        <w:t xml:space="preserve">understanding </w:t>
      </w:r>
      <w:r w:rsidR="00FC4BD1" w:rsidRPr="00053245">
        <w:rPr>
          <w:sz w:val="20"/>
          <w:szCs w:val="20"/>
        </w:rPr>
        <w:t xml:space="preserve">of </w:t>
      </w:r>
      <w:r w:rsidRPr="00053245">
        <w:rPr>
          <w:sz w:val="20"/>
          <w:szCs w:val="20"/>
        </w:rPr>
        <w:t>archaeological research designs and their impacts on field investigations</w:t>
      </w:r>
    </w:p>
    <w:p w:rsidR="004B770D" w:rsidRPr="00053245" w:rsidRDefault="004B770D" w:rsidP="0091283F">
      <w:pPr>
        <w:numPr>
          <w:ilvl w:val="0"/>
          <w:numId w:val="26"/>
        </w:numPr>
        <w:rPr>
          <w:rFonts w:cs="Arial"/>
          <w:sz w:val="20"/>
          <w:szCs w:val="20"/>
        </w:rPr>
      </w:pPr>
      <w:proofErr w:type="gramStart"/>
      <w:r w:rsidRPr="00053245">
        <w:rPr>
          <w:rFonts w:cs="Arial"/>
          <w:sz w:val="20"/>
          <w:szCs w:val="20"/>
        </w:rPr>
        <w:t>understanding</w:t>
      </w:r>
      <w:proofErr w:type="gramEnd"/>
      <w:r w:rsidRPr="00053245">
        <w:rPr>
          <w:rFonts w:cs="Arial"/>
          <w:sz w:val="20"/>
          <w:szCs w:val="20"/>
        </w:rPr>
        <w:t xml:space="preserve"> of the principles, methodologies, value systems and ethics employed in social scientific inquiry.</w:t>
      </w:r>
    </w:p>
    <w:p w:rsidR="008F735E" w:rsidRPr="00053245" w:rsidRDefault="00FC4BD1" w:rsidP="0091283F">
      <w:pPr>
        <w:numPr>
          <w:ilvl w:val="0"/>
          <w:numId w:val="26"/>
        </w:numPr>
        <w:rPr>
          <w:sz w:val="20"/>
          <w:szCs w:val="20"/>
        </w:rPr>
      </w:pPr>
      <w:r w:rsidRPr="00053245">
        <w:rPr>
          <w:rFonts w:cs="Arial"/>
          <w:sz w:val="20"/>
          <w:szCs w:val="20"/>
        </w:rPr>
        <w:t xml:space="preserve">enhanced </w:t>
      </w:r>
      <w:r w:rsidR="008F735E" w:rsidRPr="00053245">
        <w:rPr>
          <w:sz w:val="20"/>
          <w:szCs w:val="20"/>
        </w:rPr>
        <w:t>IT awareness by observing the creation and development of the on-site archaeological database and the computer modelling work</w:t>
      </w:r>
    </w:p>
    <w:p w:rsidR="005C3E1D" w:rsidRPr="00053245" w:rsidRDefault="004B770D" w:rsidP="0091283F">
      <w:pPr>
        <w:numPr>
          <w:ilvl w:val="0"/>
          <w:numId w:val="26"/>
        </w:numPr>
        <w:rPr>
          <w:sz w:val="20"/>
          <w:szCs w:val="20"/>
        </w:rPr>
      </w:pPr>
      <w:r w:rsidRPr="00053245">
        <w:rPr>
          <w:sz w:val="20"/>
          <w:szCs w:val="20"/>
        </w:rPr>
        <w:t>i</w:t>
      </w:r>
      <w:r w:rsidR="005C3E1D" w:rsidRPr="00053245">
        <w:rPr>
          <w:sz w:val="20"/>
          <w:szCs w:val="20"/>
        </w:rPr>
        <w:t>nsight into the setting up and running of a large archaeological field project</w:t>
      </w:r>
      <w:r w:rsidR="0048042A" w:rsidRPr="00053245">
        <w:rPr>
          <w:sz w:val="20"/>
          <w:szCs w:val="20"/>
        </w:rPr>
        <w:t xml:space="preserve"> </w:t>
      </w:r>
    </w:p>
    <w:p w:rsidR="004B770D" w:rsidRPr="00053245" w:rsidRDefault="004B770D" w:rsidP="0091283F">
      <w:pPr>
        <w:numPr>
          <w:ilvl w:val="0"/>
          <w:numId w:val="26"/>
        </w:numPr>
        <w:rPr>
          <w:rFonts w:cs="Arial"/>
          <w:sz w:val="20"/>
          <w:szCs w:val="20"/>
        </w:rPr>
      </w:pPr>
      <w:r w:rsidRPr="00053245">
        <w:rPr>
          <w:rFonts w:cs="Arial"/>
          <w:sz w:val="20"/>
          <w:szCs w:val="20"/>
        </w:rPr>
        <w:t>experience in working with others in a major collaborative enterprise</w:t>
      </w:r>
    </w:p>
    <w:p w:rsidR="00F22607" w:rsidRPr="00053245" w:rsidRDefault="004B770D" w:rsidP="0091283F">
      <w:pPr>
        <w:numPr>
          <w:ilvl w:val="0"/>
          <w:numId w:val="26"/>
        </w:numPr>
        <w:rPr>
          <w:rFonts w:cs="Arial"/>
          <w:sz w:val="20"/>
          <w:szCs w:val="20"/>
        </w:rPr>
      </w:pPr>
      <w:r w:rsidRPr="00053245">
        <w:rPr>
          <w:rFonts w:cs="Arial"/>
          <w:sz w:val="20"/>
          <w:szCs w:val="20"/>
        </w:rPr>
        <w:t xml:space="preserve">exposure to different cultures and </w:t>
      </w:r>
      <w:r w:rsidR="00F22607" w:rsidRPr="00053245">
        <w:rPr>
          <w:rFonts w:cs="Arial"/>
          <w:sz w:val="20"/>
          <w:szCs w:val="20"/>
        </w:rPr>
        <w:t xml:space="preserve">every day practices </w:t>
      </w:r>
      <w:r w:rsidRPr="00053245">
        <w:rPr>
          <w:rFonts w:cs="Arial"/>
          <w:sz w:val="20"/>
          <w:szCs w:val="20"/>
        </w:rPr>
        <w:t xml:space="preserve">through </w:t>
      </w:r>
      <w:r w:rsidR="00F22607" w:rsidRPr="00053245">
        <w:rPr>
          <w:rFonts w:cs="Arial"/>
          <w:sz w:val="20"/>
          <w:szCs w:val="20"/>
        </w:rPr>
        <w:t>participati</w:t>
      </w:r>
      <w:r w:rsidRPr="00053245">
        <w:rPr>
          <w:rFonts w:cs="Arial"/>
          <w:sz w:val="20"/>
          <w:szCs w:val="20"/>
        </w:rPr>
        <w:t>on in an abroad program</w:t>
      </w:r>
    </w:p>
    <w:p w:rsidR="00F22607" w:rsidRPr="00053245" w:rsidRDefault="004B770D" w:rsidP="0091283F">
      <w:pPr>
        <w:numPr>
          <w:ilvl w:val="0"/>
          <w:numId w:val="26"/>
        </w:numPr>
        <w:rPr>
          <w:rFonts w:cs="Arial"/>
          <w:sz w:val="20"/>
          <w:szCs w:val="20"/>
        </w:rPr>
      </w:pPr>
      <w:r w:rsidRPr="00053245">
        <w:rPr>
          <w:rFonts w:cs="Arial"/>
          <w:sz w:val="20"/>
          <w:szCs w:val="20"/>
        </w:rPr>
        <w:t xml:space="preserve">knowledge of </w:t>
      </w:r>
      <w:r w:rsidR="008F735E" w:rsidRPr="00053245">
        <w:rPr>
          <w:rFonts w:cs="Arial"/>
          <w:sz w:val="20"/>
          <w:szCs w:val="20"/>
        </w:rPr>
        <w:t xml:space="preserve">the archaeology of the wider Tiber delta and Rome, </w:t>
      </w:r>
      <w:r w:rsidR="00F22607" w:rsidRPr="00053245">
        <w:rPr>
          <w:rFonts w:cs="Arial"/>
          <w:sz w:val="20"/>
          <w:szCs w:val="20"/>
        </w:rPr>
        <w:t xml:space="preserve">and the character of current research related to interpreting and understanding </w:t>
      </w:r>
      <w:r w:rsidR="008F735E" w:rsidRPr="00053245">
        <w:rPr>
          <w:rFonts w:cs="Arial"/>
          <w:sz w:val="20"/>
          <w:szCs w:val="20"/>
        </w:rPr>
        <w:t>relationship between the</w:t>
      </w:r>
      <w:r w:rsidR="008766C6" w:rsidRPr="00053245">
        <w:rPr>
          <w:rFonts w:cs="Arial"/>
          <w:sz w:val="20"/>
          <w:szCs w:val="20"/>
        </w:rPr>
        <w:t xml:space="preserve"> imperial capital and its maritime</w:t>
      </w:r>
      <w:r w:rsidR="008F735E" w:rsidRPr="00053245">
        <w:rPr>
          <w:rFonts w:cs="Arial"/>
          <w:sz w:val="20"/>
          <w:szCs w:val="20"/>
        </w:rPr>
        <w:t xml:space="preserve"> hinterland</w:t>
      </w:r>
    </w:p>
    <w:p w:rsidR="00453EB5" w:rsidRPr="00053245" w:rsidRDefault="00453EB5" w:rsidP="00246382">
      <w:pPr>
        <w:tabs>
          <w:tab w:val="left" w:pos="-720"/>
        </w:tabs>
        <w:suppressAutoHyphens/>
        <w:jc w:val="both"/>
        <w:rPr>
          <w:rFonts w:cs="Arial"/>
          <w:spacing w:val="-3"/>
          <w:sz w:val="20"/>
          <w:highlight w:val="yellow"/>
        </w:rPr>
      </w:pPr>
    </w:p>
    <w:p w:rsidR="00246382" w:rsidRPr="00053245" w:rsidRDefault="00C74B24" w:rsidP="00F17AC0">
      <w:pPr>
        <w:keepNext/>
        <w:rPr>
          <w:rFonts w:cs="Arial"/>
          <w:b/>
          <w:sz w:val="20"/>
          <w:szCs w:val="20"/>
          <w:u w:val="single"/>
        </w:rPr>
      </w:pPr>
      <w:r w:rsidRPr="00053245">
        <w:rPr>
          <w:rFonts w:cs="Arial"/>
          <w:b/>
          <w:sz w:val="32"/>
          <w:szCs w:val="32"/>
          <w:u w:val="single"/>
        </w:rPr>
        <w:lastRenderedPageBreak/>
        <w:t>*</w:t>
      </w:r>
      <w:r w:rsidR="00BC3484" w:rsidRPr="00053245">
        <w:rPr>
          <w:rFonts w:cs="Arial"/>
          <w:b/>
          <w:sz w:val="20"/>
          <w:szCs w:val="20"/>
          <w:u w:val="single"/>
        </w:rPr>
        <w:t>T</w:t>
      </w:r>
      <w:r w:rsidR="00246382" w:rsidRPr="00053245">
        <w:rPr>
          <w:rFonts w:cs="Arial"/>
          <w:b/>
          <w:sz w:val="20"/>
          <w:szCs w:val="20"/>
          <w:u w:val="single"/>
        </w:rPr>
        <w:t>ransferable (Key/General) Skills</w:t>
      </w:r>
    </w:p>
    <w:p w:rsidR="00F22607" w:rsidRPr="00053245" w:rsidRDefault="00F22607" w:rsidP="00F17AC0">
      <w:pPr>
        <w:keepNext/>
        <w:numPr>
          <w:ilvl w:val="12"/>
          <w:numId w:val="0"/>
        </w:numPr>
        <w:tabs>
          <w:tab w:val="left" w:pos="0"/>
        </w:tabs>
        <w:suppressAutoHyphens/>
        <w:jc w:val="both"/>
      </w:pPr>
    </w:p>
    <w:p w:rsidR="00895F2F" w:rsidRPr="00053245" w:rsidRDefault="00F22607" w:rsidP="00F17AC0">
      <w:pPr>
        <w:keepNext/>
        <w:numPr>
          <w:ilvl w:val="12"/>
          <w:numId w:val="0"/>
        </w:numPr>
        <w:tabs>
          <w:tab w:val="left" w:pos="0"/>
        </w:tabs>
        <w:suppressAutoHyphens/>
        <w:jc w:val="both"/>
        <w:rPr>
          <w:sz w:val="20"/>
          <w:szCs w:val="20"/>
        </w:rPr>
      </w:pPr>
      <w:r w:rsidRPr="00053245">
        <w:rPr>
          <w:rFonts w:cs="Arial"/>
          <w:szCs w:val="18"/>
        </w:rPr>
        <w:t xml:space="preserve"> </w:t>
      </w:r>
      <w:r w:rsidR="00895F2F" w:rsidRPr="00053245">
        <w:rPr>
          <w:rFonts w:cs="Arial"/>
          <w:sz w:val="20"/>
          <w:szCs w:val="20"/>
        </w:rPr>
        <w:t>T</w:t>
      </w:r>
      <w:r w:rsidR="00895F2F" w:rsidRPr="00053245">
        <w:rPr>
          <w:sz w:val="20"/>
          <w:szCs w:val="20"/>
        </w:rPr>
        <w:t>he following transferable skills will be developed and enhanced in all participants:</w:t>
      </w:r>
    </w:p>
    <w:p w:rsidR="00C71E7E" w:rsidRPr="00053245" w:rsidRDefault="00895F2F" w:rsidP="00C71E7E">
      <w:pPr>
        <w:numPr>
          <w:ilvl w:val="0"/>
          <w:numId w:val="32"/>
        </w:numPr>
        <w:rPr>
          <w:sz w:val="20"/>
          <w:szCs w:val="20"/>
        </w:rPr>
      </w:pPr>
      <w:r w:rsidRPr="00053245">
        <w:rPr>
          <w:sz w:val="20"/>
          <w:szCs w:val="20"/>
        </w:rPr>
        <w:t>Communication skills, written and oral</w:t>
      </w:r>
    </w:p>
    <w:p w:rsidR="00895F2F" w:rsidRPr="00053245" w:rsidRDefault="00895F2F" w:rsidP="00C71E7E">
      <w:pPr>
        <w:numPr>
          <w:ilvl w:val="0"/>
          <w:numId w:val="32"/>
        </w:numPr>
        <w:rPr>
          <w:sz w:val="20"/>
          <w:szCs w:val="20"/>
        </w:rPr>
      </w:pPr>
      <w:r w:rsidRPr="00053245">
        <w:rPr>
          <w:sz w:val="20"/>
          <w:szCs w:val="20"/>
        </w:rPr>
        <w:t>Team working in an international and multi-lingual environment</w:t>
      </w:r>
    </w:p>
    <w:p w:rsidR="00895F2F" w:rsidRPr="00053245" w:rsidRDefault="00895F2F" w:rsidP="00C71E7E">
      <w:pPr>
        <w:numPr>
          <w:ilvl w:val="0"/>
          <w:numId w:val="32"/>
        </w:numPr>
        <w:rPr>
          <w:sz w:val="20"/>
          <w:szCs w:val="20"/>
        </w:rPr>
      </w:pPr>
      <w:r w:rsidRPr="00053245">
        <w:rPr>
          <w:sz w:val="20"/>
          <w:szCs w:val="20"/>
        </w:rPr>
        <w:t>Observational skills</w:t>
      </w:r>
    </w:p>
    <w:p w:rsidR="00895F2F" w:rsidRPr="00053245" w:rsidRDefault="00895F2F" w:rsidP="00C71E7E">
      <w:pPr>
        <w:numPr>
          <w:ilvl w:val="0"/>
          <w:numId w:val="32"/>
        </w:numPr>
        <w:rPr>
          <w:sz w:val="20"/>
          <w:szCs w:val="20"/>
        </w:rPr>
      </w:pPr>
      <w:r w:rsidRPr="00053245">
        <w:rPr>
          <w:sz w:val="20"/>
          <w:szCs w:val="20"/>
        </w:rPr>
        <w:t>Problem solving skills</w:t>
      </w:r>
    </w:p>
    <w:p w:rsidR="00895F2F" w:rsidRPr="00053245" w:rsidRDefault="00895F2F" w:rsidP="00C71E7E">
      <w:pPr>
        <w:numPr>
          <w:ilvl w:val="0"/>
          <w:numId w:val="32"/>
        </w:numPr>
        <w:rPr>
          <w:sz w:val="20"/>
          <w:szCs w:val="20"/>
        </w:rPr>
      </w:pPr>
      <w:r w:rsidRPr="00053245">
        <w:rPr>
          <w:sz w:val="20"/>
          <w:szCs w:val="20"/>
        </w:rPr>
        <w:t xml:space="preserve">Critical and creative thinking </w:t>
      </w:r>
    </w:p>
    <w:p w:rsidR="00895F2F" w:rsidRPr="00053245" w:rsidRDefault="00895F2F" w:rsidP="00C71E7E">
      <w:pPr>
        <w:numPr>
          <w:ilvl w:val="0"/>
          <w:numId w:val="32"/>
        </w:numPr>
        <w:rPr>
          <w:sz w:val="20"/>
          <w:szCs w:val="20"/>
        </w:rPr>
      </w:pPr>
      <w:r w:rsidRPr="00053245">
        <w:rPr>
          <w:sz w:val="20"/>
          <w:szCs w:val="20"/>
        </w:rPr>
        <w:t>Recognition, description and reporting skills</w:t>
      </w:r>
    </w:p>
    <w:p w:rsidR="00895F2F" w:rsidRPr="00053245" w:rsidRDefault="00895F2F" w:rsidP="00C71E7E">
      <w:pPr>
        <w:numPr>
          <w:ilvl w:val="0"/>
          <w:numId w:val="32"/>
        </w:numPr>
        <w:rPr>
          <w:sz w:val="20"/>
          <w:szCs w:val="20"/>
        </w:rPr>
      </w:pPr>
      <w:r w:rsidRPr="00053245">
        <w:rPr>
          <w:sz w:val="20"/>
          <w:szCs w:val="20"/>
        </w:rPr>
        <w:t>Accuracy in working and reporting</w:t>
      </w:r>
    </w:p>
    <w:p w:rsidR="00895F2F" w:rsidRPr="00053245" w:rsidRDefault="00895F2F" w:rsidP="00C71E7E">
      <w:pPr>
        <w:numPr>
          <w:ilvl w:val="0"/>
          <w:numId w:val="32"/>
        </w:numPr>
        <w:rPr>
          <w:sz w:val="20"/>
          <w:szCs w:val="20"/>
        </w:rPr>
      </w:pPr>
      <w:r w:rsidRPr="00053245">
        <w:rPr>
          <w:sz w:val="20"/>
          <w:szCs w:val="20"/>
        </w:rPr>
        <w:t>The safe and appropriate use and care of hand tools, lifting and handling techniques</w:t>
      </w:r>
    </w:p>
    <w:p w:rsidR="00895F2F" w:rsidRPr="00053245" w:rsidRDefault="00895F2F" w:rsidP="00C71E7E">
      <w:pPr>
        <w:numPr>
          <w:ilvl w:val="0"/>
          <w:numId w:val="32"/>
        </w:numPr>
        <w:rPr>
          <w:sz w:val="20"/>
          <w:szCs w:val="20"/>
        </w:rPr>
      </w:pPr>
      <w:r w:rsidRPr="00053245">
        <w:rPr>
          <w:sz w:val="20"/>
          <w:szCs w:val="20"/>
        </w:rPr>
        <w:t>Analytical and numerical skills</w:t>
      </w:r>
    </w:p>
    <w:p w:rsidR="00895F2F" w:rsidRPr="00053245" w:rsidRDefault="00895F2F" w:rsidP="00C71E7E">
      <w:pPr>
        <w:numPr>
          <w:ilvl w:val="0"/>
          <w:numId w:val="32"/>
        </w:numPr>
      </w:pPr>
      <w:r w:rsidRPr="00053245">
        <w:rPr>
          <w:sz w:val="20"/>
          <w:szCs w:val="20"/>
        </w:rPr>
        <w:t>Taking responsibility for individual work as well as identifying personal goals</w:t>
      </w:r>
    </w:p>
    <w:p w:rsidR="000A023F" w:rsidRPr="00053245" w:rsidRDefault="000A023F" w:rsidP="001B39BF">
      <w:pPr>
        <w:numPr>
          <w:ilvl w:val="12"/>
          <w:numId w:val="0"/>
        </w:numPr>
        <w:tabs>
          <w:tab w:val="left" w:pos="0"/>
        </w:tabs>
        <w:suppressAutoHyphens/>
        <w:jc w:val="both"/>
        <w:rPr>
          <w:b/>
          <w:bCs/>
          <w:sz w:val="28"/>
          <w:szCs w:val="28"/>
          <w:highlight w:val="yellow"/>
        </w:rPr>
      </w:pPr>
    </w:p>
    <w:p w:rsidR="00956B40" w:rsidRPr="00053245" w:rsidRDefault="00956B40" w:rsidP="001B39BF">
      <w:pPr>
        <w:numPr>
          <w:ilvl w:val="12"/>
          <w:numId w:val="0"/>
        </w:numPr>
        <w:tabs>
          <w:tab w:val="left" w:pos="0"/>
        </w:tabs>
        <w:suppressAutoHyphens/>
        <w:jc w:val="both"/>
        <w:rPr>
          <w:rFonts w:cs="Arial"/>
          <w:b/>
          <w:bCs/>
          <w:spacing w:val="-3"/>
          <w:sz w:val="20"/>
        </w:rPr>
      </w:pPr>
      <w:r w:rsidRPr="00053245">
        <w:rPr>
          <w:b/>
          <w:bCs/>
          <w:sz w:val="28"/>
          <w:szCs w:val="28"/>
        </w:rPr>
        <w:t>Summary of syllabus content</w:t>
      </w:r>
    </w:p>
    <w:p w:rsidR="00B34D1A" w:rsidRPr="00053245" w:rsidRDefault="00EF5E1F" w:rsidP="00CD794D">
      <w:r>
        <w:pict>
          <v:rect id="_x0000_i1027" style="width:0;height:1.5pt" o:hralign="center" o:hrstd="t" o:hr="t" fillcolor="#aca899" stroked="f"/>
        </w:pict>
      </w:r>
    </w:p>
    <w:p w:rsidR="008E3B1C" w:rsidRPr="00053245" w:rsidRDefault="00C74B24" w:rsidP="00F11F8F">
      <w:pPr>
        <w:rPr>
          <w:b/>
          <w:bCs/>
          <w:highlight w:val="yellow"/>
          <w:u w:val="single"/>
        </w:rPr>
      </w:pPr>
      <w:r w:rsidRPr="00053245">
        <w:rPr>
          <w:b/>
          <w:bCs/>
          <w:sz w:val="32"/>
          <w:szCs w:val="32"/>
          <w:u w:val="single"/>
        </w:rPr>
        <w:t>*</w:t>
      </w:r>
      <w:r w:rsidR="00B34D1A" w:rsidRPr="00053245">
        <w:rPr>
          <w:b/>
          <w:bCs/>
          <w:u w:val="single"/>
        </w:rPr>
        <w:t>D</w:t>
      </w:r>
      <w:r w:rsidR="00956B40" w:rsidRPr="00053245">
        <w:rPr>
          <w:b/>
          <w:bCs/>
          <w:u w:val="single"/>
        </w:rPr>
        <w:t>escription</w:t>
      </w:r>
      <w:r w:rsidR="008E3B1C" w:rsidRPr="00053245">
        <w:rPr>
          <w:b/>
          <w:bCs/>
          <w:szCs w:val="28"/>
          <w:u w:val="single"/>
        </w:rPr>
        <w:t xml:space="preserve"> </w:t>
      </w:r>
    </w:p>
    <w:p w:rsidR="009739CF" w:rsidRPr="00053245" w:rsidRDefault="009739CF" w:rsidP="00E822A0"/>
    <w:p w:rsidR="009375AB" w:rsidRPr="00053245" w:rsidRDefault="009375AB" w:rsidP="009375AB">
      <w:pPr>
        <w:rPr>
          <w:sz w:val="20"/>
          <w:szCs w:val="20"/>
        </w:rPr>
      </w:pPr>
      <w:r w:rsidRPr="00053245">
        <w:rPr>
          <w:sz w:val="20"/>
          <w:szCs w:val="20"/>
        </w:rPr>
        <w:t xml:space="preserve">The course </w:t>
      </w:r>
      <w:r w:rsidR="003F5F92" w:rsidRPr="00053245">
        <w:rPr>
          <w:sz w:val="20"/>
          <w:szCs w:val="20"/>
        </w:rPr>
        <w:t>will</w:t>
      </w:r>
      <w:r w:rsidRPr="00053245">
        <w:rPr>
          <w:sz w:val="20"/>
          <w:szCs w:val="20"/>
        </w:rPr>
        <w:t xml:space="preserve"> offer a combination of hands-on practical training and academic content. </w:t>
      </w:r>
    </w:p>
    <w:p w:rsidR="00105128" w:rsidRPr="00053245" w:rsidRDefault="00105128" w:rsidP="009375AB">
      <w:pPr>
        <w:rPr>
          <w:sz w:val="20"/>
          <w:szCs w:val="20"/>
        </w:rPr>
      </w:pPr>
    </w:p>
    <w:p w:rsidR="002278EB" w:rsidRPr="00053245" w:rsidRDefault="009739CF" w:rsidP="002278EB">
      <w:pPr>
        <w:rPr>
          <w:sz w:val="20"/>
          <w:szCs w:val="20"/>
        </w:rPr>
      </w:pPr>
      <w:r w:rsidRPr="00053245">
        <w:rPr>
          <w:sz w:val="20"/>
          <w:szCs w:val="20"/>
        </w:rPr>
        <w:t xml:space="preserve">The students </w:t>
      </w:r>
      <w:r w:rsidR="003F5F92" w:rsidRPr="00053245">
        <w:rPr>
          <w:sz w:val="20"/>
          <w:szCs w:val="20"/>
        </w:rPr>
        <w:t>will</w:t>
      </w:r>
      <w:r w:rsidRPr="00053245">
        <w:rPr>
          <w:sz w:val="20"/>
          <w:szCs w:val="20"/>
        </w:rPr>
        <w:t xml:space="preserve"> receive </w:t>
      </w:r>
      <w:r w:rsidR="002278EB" w:rsidRPr="00053245">
        <w:rPr>
          <w:sz w:val="20"/>
          <w:szCs w:val="20"/>
        </w:rPr>
        <w:t>practical training in the following areas:</w:t>
      </w:r>
    </w:p>
    <w:p w:rsidR="0074020B" w:rsidRPr="00053245" w:rsidRDefault="009739CF" w:rsidP="00C71E7E">
      <w:pPr>
        <w:numPr>
          <w:ilvl w:val="0"/>
          <w:numId w:val="28"/>
        </w:numPr>
        <w:rPr>
          <w:rFonts w:cs="Arial"/>
          <w:sz w:val="20"/>
          <w:szCs w:val="20"/>
        </w:rPr>
      </w:pPr>
      <w:r w:rsidRPr="00053245">
        <w:rPr>
          <w:rFonts w:cs="Arial"/>
          <w:sz w:val="20"/>
          <w:szCs w:val="20"/>
        </w:rPr>
        <w:t xml:space="preserve">Archaeological survey – transects, </w:t>
      </w:r>
      <w:r w:rsidR="003D726B" w:rsidRPr="00053245">
        <w:rPr>
          <w:rFonts w:cs="Arial"/>
          <w:sz w:val="20"/>
          <w:szCs w:val="20"/>
        </w:rPr>
        <w:t xml:space="preserve">laser scanning, photogrammetry, </w:t>
      </w:r>
      <w:r w:rsidRPr="00053245">
        <w:rPr>
          <w:rFonts w:cs="Arial"/>
          <w:sz w:val="20"/>
          <w:szCs w:val="20"/>
        </w:rPr>
        <w:t>mapping, and data processing</w:t>
      </w:r>
    </w:p>
    <w:p w:rsidR="009739CF" w:rsidRPr="00053245" w:rsidRDefault="009739CF" w:rsidP="00C71E7E">
      <w:pPr>
        <w:numPr>
          <w:ilvl w:val="0"/>
          <w:numId w:val="28"/>
        </w:numPr>
        <w:rPr>
          <w:rFonts w:cs="Arial"/>
          <w:sz w:val="20"/>
          <w:szCs w:val="20"/>
        </w:rPr>
      </w:pPr>
      <w:r w:rsidRPr="00053245">
        <w:rPr>
          <w:rFonts w:cs="Arial"/>
          <w:sz w:val="20"/>
          <w:szCs w:val="20"/>
        </w:rPr>
        <w:t xml:space="preserve">Archaeological excavation – layout, mapping, profiles, sediments, </w:t>
      </w:r>
      <w:r w:rsidR="00000684" w:rsidRPr="00053245">
        <w:rPr>
          <w:rFonts w:cs="Arial"/>
          <w:sz w:val="20"/>
          <w:szCs w:val="20"/>
        </w:rPr>
        <w:t xml:space="preserve">artefact </w:t>
      </w:r>
      <w:r w:rsidRPr="00053245">
        <w:rPr>
          <w:rFonts w:cs="Arial"/>
          <w:sz w:val="20"/>
          <w:szCs w:val="20"/>
        </w:rPr>
        <w:t>recognition</w:t>
      </w:r>
    </w:p>
    <w:p w:rsidR="009739CF" w:rsidRPr="00053245" w:rsidRDefault="00D916C9" w:rsidP="00C71E7E">
      <w:pPr>
        <w:numPr>
          <w:ilvl w:val="0"/>
          <w:numId w:val="28"/>
        </w:numPr>
        <w:rPr>
          <w:rFonts w:cs="Arial"/>
          <w:sz w:val="20"/>
          <w:szCs w:val="20"/>
        </w:rPr>
      </w:pPr>
      <w:r w:rsidRPr="00053245">
        <w:rPr>
          <w:rFonts w:cs="Arial"/>
          <w:sz w:val="20"/>
          <w:szCs w:val="20"/>
        </w:rPr>
        <w:t xml:space="preserve">Archaeological recording procedures </w:t>
      </w:r>
      <w:r w:rsidR="009739CF" w:rsidRPr="00053245">
        <w:rPr>
          <w:rFonts w:cs="Arial"/>
          <w:sz w:val="20"/>
          <w:szCs w:val="20"/>
        </w:rPr>
        <w:t>– photography,</w:t>
      </w:r>
      <w:r w:rsidR="003D726B" w:rsidRPr="00053245">
        <w:rPr>
          <w:rFonts w:cs="Arial"/>
          <w:sz w:val="20"/>
          <w:szCs w:val="20"/>
        </w:rPr>
        <w:t xml:space="preserve"> imaging, </w:t>
      </w:r>
      <w:r w:rsidRPr="00053245">
        <w:rPr>
          <w:rFonts w:cs="Arial"/>
          <w:sz w:val="20"/>
          <w:szCs w:val="20"/>
        </w:rPr>
        <w:t>context sheets</w:t>
      </w:r>
      <w:r w:rsidR="009739CF" w:rsidRPr="00053245">
        <w:rPr>
          <w:rFonts w:cs="Arial"/>
          <w:sz w:val="20"/>
          <w:szCs w:val="20"/>
        </w:rPr>
        <w:t xml:space="preserve">, </w:t>
      </w:r>
      <w:r w:rsidRPr="00053245">
        <w:rPr>
          <w:rFonts w:cs="Arial"/>
          <w:sz w:val="20"/>
          <w:szCs w:val="20"/>
        </w:rPr>
        <w:t>section, plan and feature drawing, site maps</w:t>
      </w:r>
    </w:p>
    <w:p w:rsidR="0074020B" w:rsidRPr="00053245" w:rsidRDefault="0074020B" w:rsidP="00C71E7E">
      <w:pPr>
        <w:numPr>
          <w:ilvl w:val="0"/>
          <w:numId w:val="28"/>
        </w:numPr>
        <w:rPr>
          <w:rFonts w:cs="Arial"/>
          <w:sz w:val="20"/>
          <w:szCs w:val="20"/>
        </w:rPr>
      </w:pPr>
      <w:r w:rsidRPr="00053245">
        <w:rPr>
          <w:rFonts w:cs="Arial"/>
          <w:sz w:val="20"/>
          <w:szCs w:val="20"/>
        </w:rPr>
        <w:t>G</w:t>
      </w:r>
      <w:r w:rsidRPr="00053245">
        <w:rPr>
          <w:sz w:val="20"/>
          <w:szCs w:val="20"/>
        </w:rPr>
        <w:t>lobal positioning systems (GPS) and total data station (TDS)</w:t>
      </w:r>
    </w:p>
    <w:p w:rsidR="00D916C9" w:rsidRPr="00053245" w:rsidRDefault="00D916C9" w:rsidP="00C71E7E">
      <w:pPr>
        <w:numPr>
          <w:ilvl w:val="0"/>
          <w:numId w:val="28"/>
        </w:numPr>
        <w:rPr>
          <w:rFonts w:cs="Arial"/>
          <w:sz w:val="20"/>
          <w:szCs w:val="20"/>
        </w:rPr>
      </w:pPr>
      <w:r w:rsidRPr="00053245">
        <w:rPr>
          <w:rFonts w:cs="Arial"/>
          <w:sz w:val="20"/>
          <w:szCs w:val="20"/>
        </w:rPr>
        <w:t xml:space="preserve">Environmental sampling – methods, recovery and processing </w:t>
      </w:r>
    </w:p>
    <w:p w:rsidR="00D916C9" w:rsidRPr="00053245" w:rsidRDefault="00BB4BEE" w:rsidP="00C71E7E">
      <w:pPr>
        <w:numPr>
          <w:ilvl w:val="0"/>
          <w:numId w:val="28"/>
        </w:numPr>
        <w:rPr>
          <w:rFonts w:cs="Arial"/>
          <w:sz w:val="20"/>
          <w:szCs w:val="20"/>
        </w:rPr>
      </w:pPr>
      <w:r w:rsidRPr="00053245">
        <w:rPr>
          <w:rFonts w:cs="Arial"/>
          <w:sz w:val="20"/>
          <w:szCs w:val="20"/>
        </w:rPr>
        <w:t>Recovery, i</w:t>
      </w:r>
      <w:r w:rsidR="00D916C9" w:rsidRPr="00053245">
        <w:rPr>
          <w:sz w:val="20"/>
          <w:szCs w:val="20"/>
        </w:rPr>
        <w:t xml:space="preserve">dentification </w:t>
      </w:r>
      <w:r w:rsidRPr="00053245">
        <w:rPr>
          <w:sz w:val="20"/>
          <w:szCs w:val="20"/>
        </w:rPr>
        <w:t xml:space="preserve">and interpretation of </w:t>
      </w:r>
      <w:r w:rsidR="00D916C9" w:rsidRPr="00053245">
        <w:rPr>
          <w:sz w:val="20"/>
          <w:szCs w:val="20"/>
        </w:rPr>
        <w:t>cultural materials</w:t>
      </w:r>
      <w:r w:rsidRPr="00053245">
        <w:rPr>
          <w:rFonts w:cs="Arial"/>
          <w:sz w:val="20"/>
          <w:szCs w:val="20"/>
        </w:rPr>
        <w:t xml:space="preserve">, archaeological </w:t>
      </w:r>
      <w:r w:rsidR="009375AB" w:rsidRPr="00053245">
        <w:rPr>
          <w:rFonts w:cs="Arial"/>
          <w:sz w:val="20"/>
          <w:szCs w:val="20"/>
        </w:rPr>
        <w:t xml:space="preserve">features, </w:t>
      </w:r>
      <w:r w:rsidRPr="00053245">
        <w:rPr>
          <w:rFonts w:cs="Arial"/>
          <w:sz w:val="20"/>
          <w:szCs w:val="20"/>
        </w:rPr>
        <w:t>contexts and stratigraphy</w:t>
      </w:r>
    </w:p>
    <w:p w:rsidR="009739CF" w:rsidRPr="00053245" w:rsidRDefault="008766C6" w:rsidP="00C71E7E">
      <w:pPr>
        <w:numPr>
          <w:ilvl w:val="0"/>
          <w:numId w:val="28"/>
        </w:numPr>
        <w:rPr>
          <w:rFonts w:cs="Arial"/>
          <w:sz w:val="20"/>
          <w:szCs w:val="20"/>
        </w:rPr>
      </w:pPr>
      <w:r w:rsidRPr="00053245">
        <w:rPr>
          <w:rFonts w:cs="Arial"/>
          <w:sz w:val="20"/>
          <w:szCs w:val="20"/>
        </w:rPr>
        <w:t>Basic r</w:t>
      </w:r>
      <w:r w:rsidR="009739CF" w:rsidRPr="00053245">
        <w:rPr>
          <w:rFonts w:cs="Arial"/>
          <w:sz w:val="20"/>
          <w:szCs w:val="20"/>
        </w:rPr>
        <w:t>eport preparation – documentation of inventory and excavation results</w:t>
      </w:r>
    </w:p>
    <w:p w:rsidR="0091283F" w:rsidRPr="00053245" w:rsidRDefault="0091283F" w:rsidP="00C71E7E">
      <w:pPr>
        <w:numPr>
          <w:ilvl w:val="0"/>
          <w:numId w:val="28"/>
        </w:numPr>
        <w:rPr>
          <w:rFonts w:cs="Arial"/>
          <w:sz w:val="20"/>
          <w:szCs w:val="20"/>
        </w:rPr>
      </w:pPr>
      <w:r w:rsidRPr="00053245">
        <w:rPr>
          <w:sz w:val="20"/>
          <w:szCs w:val="20"/>
        </w:rPr>
        <w:t>Importance and difficulties of creating an appropriate research design to answer specific questions in a field setting</w:t>
      </w:r>
    </w:p>
    <w:p w:rsidR="00081113" w:rsidRPr="00053245" w:rsidRDefault="00081113" w:rsidP="009739CF">
      <w:pPr>
        <w:rPr>
          <w:rFonts w:cs="Arial"/>
          <w:sz w:val="20"/>
          <w:szCs w:val="20"/>
        </w:rPr>
      </w:pPr>
    </w:p>
    <w:p w:rsidR="00D06612" w:rsidRPr="00053245" w:rsidRDefault="00D06612" w:rsidP="00D06612">
      <w:pPr>
        <w:rPr>
          <w:sz w:val="20"/>
          <w:szCs w:val="20"/>
        </w:rPr>
      </w:pPr>
      <w:r w:rsidRPr="00053245">
        <w:rPr>
          <w:sz w:val="20"/>
          <w:szCs w:val="20"/>
        </w:rPr>
        <w:t xml:space="preserve">The </w:t>
      </w:r>
      <w:r w:rsidR="003F5F92" w:rsidRPr="00053245">
        <w:rPr>
          <w:sz w:val="20"/>
          <w:szCs w:val="20"/>
        </w:rPr>
        <w:t>CIP Portus module will have as its fieldwork focus the Portus F</w:t>
      </w:r>
      <w:r w:rsidRPr="00053245">
        <w:rPr>
          <w:sz w:val="20"/>
          <w:szCs w:val="20"/>
        </w:rPr>
        <w:t xml:space="preserve">ield </w:t>
      </w:r>
      <w:r w:rsidR="003F5F92" w:rsidRPr="00053245">
        <w:rPr>
          <w:sz w:val="20"/>
          <w:szCs w:val="20"/>
        </w:rPr>
        <w:t>S</w:t>
      </w:r>
      <w:r w:rsidRPr="00053245">
        <w:rPr>
          <w:sz w:val="20"/>
          <w:szCs w:val="20"/>
        </w:rPr>
        <w:t>chool</w:t>
      </w:r>
      <w:r w:rsidR="003F5F92" w:rsidRPr="00053245">
        <w:rPr>
          <w:sz w:val="20"/>
          <w:szCs w:val="20"/>
        </w:rPr>
        <w:t xml:space="preserve">, based at the archaeological site of Portus, Italy. This </w:t>
      </w:r>
      <w:r w:rsidRPr="00053245">
        <w:rPr>
          <w:sz w:val="20"/>
          <w:szCs w:val="20"/>
        </w:rPr>
        <w:t>will be operational for three weeks each year</w:t>
      </w:r>
      <w:r w:rsidR="00D6616E" w:rsidRPr="00053245">
        <w:rPr>
          <w:sz w:val="20"/>
          <w:szCs w:val="20"/>
        </w:rPr>
        <w:t xml:space="preserve">, </w:t>
      </w:r>
      <w:r w:rsidR="00621A32" w:rsidRPr="00053245">
        <w:rPr>
          <w:sz w:val="20"/>
          <w:szCs w:val="20"/>
        </w:rPr>
        <w:t>outside normal term time (</w:t>
      </w:r>
      <w:r w:rsidR="00D6616E" w:rsidRPr="00053245">
        <w:rPr>
          <w:sz w:val="20"/>
          <w:szCs w:val="20"/>
        </w:rPr>
        <w:t>during months of June and July</w:t>
      </w:r>
      <w:r w:rsidR="00ED1E5A" w:rsidRPr="00053245">
        <w:rPr>
          <w:sz w:val="20"/>
          <w:szCs w:val="20"/>
        </w:rPr>
        <w:t>)</w:t>
      </w:r>
      <w:r w:rsidR="00D6616E" w:rsidRPr="00053245">
        <w:rPr>
          <w:sz w:val="20"/>
          <w:szCs w:val="20"/>
        </w:rPr>
        <w:t xml:space="preserve">. </w:t>
      </w:r>
      <w:r w:rsidRPr="00053245">
        <w:rPr>
          <w:sz w:val="20"/>
          <w:szCs w:val="20"/>
        </w:rPr>
        <w:t xml:space="preserve">During this </w:t>
      </w:r>
      <w:r w:rsidR="00D6616E" w:rsidRPr="00053245">
        <w:rPr>
          <w:sz w:val="20"/>
          <w:szCs w:val="20"/>
        </w:rPr>
        <w:t>three week period</w:t>
      </w:r>
      <w:r w:rsidRPr="00053245">
        <w:rPr>
          <w:sz w:val="20"/>
          <w:szCs w:val="20"/>
        </w:rPr>
        <w:t xml:space="preserve"> those taking part will be given field tuition as they are rotated through different tasks. Students will be kept up-to-date with overall site progress by means of a weekly site tour. This training w</w:t>
      </w:r>
      <w:r w:rsidR="003F5F92" w:rsidRPr="00053245">
        <w:rPr>
          <w:sz w:val="20"/>
          <w:szCs w:val="20"/>
        </w:rPr>
        <w:t>ill</w:t>
      </w:r>
      <w:r w:rsidRPr="00053245">
        <w:rPr>
          <w:sz w:val="20"/>
          <w:szCs w:val="20"/>
        </w:rPr>
        <w:t xml:space="preserve"> be supplemented with lectures given by field school staff and visitors, both on site and at the British School at Rome. These will provide participants of all levels with an understanding of the wider context in which the work at the site is situated; where appropriate explicit links between students’ core disciplines and archaeological field practice will be highlighted. This will be supplemented by optional study visits to sites and museums in the wider area, including Rome and Ostia.</w:t>
      </w:r>
    </w:p>
    <w:p w:rsidR="00081113" w:rsidRPr="00053245" w:rsidRDefault="00081113" w:rsidP="00081113">
      <w:pPr>
        <w:rPr>
          <w:sz w:val="20"/>
          <w:szCs w:val="20"/>
        </w:rPr>
      </w:pPr>
    </w:p>
    <w:p w:rsidR="00F11F8F" w:rsidRPr="00053245" w:rsidRDefault="00C74B24" w:rsidP="00CD794D">
      <w:pPr>
        <w:pStyle w:val="QAhandbookheading1"/>
        <w:rPr>
          <w:highlight w:val="yellow"/>
          <w:u w:val="single"/>
        </w:rPr>
      </w:pPr>
      <w:r w:rsidRPr="00053245">
        <w:rPr>
          <w:szCs w:val="32"/>
          <w:u w:val="single"/>
        </w:rPr>
        <w:t>*</w:t>
      </w:r>
      <w:r w:rsidR="00F11F8F" w:rsidRPr="00053245">
        <w:rPr>
          <w:sz w:val="20"/>
          <w:szCs w:val="20"/>
          <w:u w:val="single"/>
        </w:rPr>
        <w:t>How is this module innovative in content?</w:t>
      </w:r>
    </w:p>
    <w:p w:rsidR="00F11F8F" w:rsidRPr="00053245" w:rsidRDefault="00F11F8F" w:rsidP="00CD794D">
      <w:pPr>
        <w:pStyle w:val="QAhandbookheading1"/>
        <w:rPr>
          <w:highlight w:val="yellow"/>
        </w:rPr>
      </w:pPr>
    </w:p>
    <w:p w:rsidR="0074020B" w:rsidRPr="00053245" w:rsidRDefault="0074020B" w:rsidP="0074020B">
      <w:pPr>
        <w:rPr>
          <w:sz w:val="20"/>
          <w:szCs w:val="20"/>
        </w:rPr>
      </w:pPr>
      <w:r w:rsidRPr="00053245">
        <w:rPr>
          <w:sz w:val="20"/>
          <w:szCs w:val="20"/>
        </w:rPr>
        <w:t xml:space="preserve">The module </w:t>
      </w:r>
      <w:r w:rsidR="003F5F92" w:rsidRPr="00053245">
        <w:rPr>
          <w:sz w:val="20"/>
          <w:szCs w:val="20"/>
        </w:rPr>
        <w:t>will</w:t>
      </w:r>
      <w:r w:rsidRPr="00053245">
        <w:rPr>
          <w:sz w:val="20"/>
          <w:szCs w:val="20"/>
        </w:rPr>
        <w:t xml:space="preserve"> provide all students from the University with the opportunity to </w:t>
      </w:r>
      <w:r w:rsidR="001370DD" w:rsidRPr="00053245">
        <w:rPr>
          <w:sz w:val="20"/>
          <w:szCs w:val="20"/>
        </w:rPr>
        <w:t xml:space="preserve">gain hands-on training in </w:t>
      </w:r>
      <w:r w:rsidR="006B4E4D" w:rsidRPr="00053245">
        <w:rPr>
          <w:sz w:val="20"/>
          <w:szCs w:val="20"/>
        </w:rPr>
        <w:t xml:space="preserve">a variety of </w:t>
      </w:r>
      <w:r w:rsidR="001370DD" w:rsidRPr="00053245">
        <w:rPr>
          <w:sz w:val="20"/>
          <w:szCs w:val="20"/>
        </w:rPr>
        <w:t xml:space="preserve">techniques used in </w:t>
      </w:r>
      <w:r w:rsidR="00726A2E" w:rsidRPr="00053245">
        <w:rPr>
          <w:sz w:val="20"/>
          <w:szCs w:val="20"/>
        </w:rPr>
        <w:t xml:space="preserve">modern archaeological fieldwork. </w:t>
      </w:r>
      <w:r w:rsidR="006B4E4D" w:rsidRPr="00053245">
        <w:rPr>
          <w:sz w:val="20"/>
          <w:szCs w:val="20"/>
        </w:rPr>
        <w:t xml:space="preserve">At the same time students will be exposed to techniques belonging to different </w:t>
      </w:r>
      <w:r w:rsidR="005036A8" w:rsidRPr="00053245">
        <w:rPr>
          <w:sz w:val="20"/>
          <w:szCs w:val="20"/>
        </w:rPr>
        <w:t xml:space="preserve">scientific </w:t>
      </w:r>
      <w:r w:rsidR="006B4E4D" w:rsidRPr="00053245">
        <w:rPr>
          <w:sz w:val="20"/>
          <w:szCs w:val="20"/>
        </w:rPr>
        <w:t>disciplines</w:t>
      </w:r>
      <w:r w:rsidR="001370DD" w:rsidRPr="00053245">
        <w:rPr>
          <w:sz w:val="20"/>
          <w:szCs w:val="20"/>
        </w:rPr>
        <w:t xml:space="preserve"> </w:t>
      </w:r>
      <w:r w:rsidR="006B4E4D" w:rsidRPr="00053245">
        <w:rPr>
          <w:sz w:val="20"/>
          <w:szCs w:val="20"/>
        </w:rPr>
        <w:t>(</w:t>
      </w:r>
      <w:r w:rsidR="00726A2E" w:rsidRPr="00053245">
        <w:rPr>
          <w:sz w:val="20"/>
          <w:szCs w:val="20"/>
        </w:rPr>
        <w:t xml:space="preserve">computing, geology, </w:t>
      </w:r>
      <w:r w:rsidR="005036A8" w:rsidRPr="00053245">
        <w:rPr>
          <w:sz w:val="20"/>
          <w:szCs w:val="20"/>
        </w:rPr>
        <w:t>geophysics, biology</w:t>
      </w:r>
      <w:r w:rsidR="006B4E4D" w:rsidRPr="00053245">
        <w:rPr>
          <w:sz w:val="20"/>
          <w:szCs w:val="20"/>
        </w:rPr>
        <w:t xml:space="preserve">), </w:t>
      </w:r>
      <w:r w:rsidR="005036A8" w:rsidRPr="00053245">
        <w:rPr>
          <w:sz w:val="20"/>
          <w:szCs w:val="20"/>
        </w:rPr>
        <w:t>and research methods of social and human sciences (</w:t>
      </w:r>
      <w:r w:rsidR="00726A2E" w:rsidRPr="00053245">
        <w:rPr>
          <w:sz w:val="20"/>
          <w:szCs w:val="20"/>
        </w:rPr>
        <w:t xml:space="preserve">archaeology, </w:t>
      </w:r>
      <w:r w:rsidR="005036A8" w:rsidRPr="00053245">
        <w:rPr>
          <w:sz w:val="20"/>
          <w:szCs w:val="20"/>
        </w:rPr>
        <w:t xml:space="preserve">history, classics, history of art). This training will not be abstract but problem-based, demonstrating a power of multidisciplinary </w:t>
      </w:r>
      <w:r w:rsidR="005F6F90" w:rsidRPr="00053245">
        <w:rPr>
          <w:sz w:val="20"/>
          <w:szCs w:val="20"/>
        </w:rPr>
        <w:t>approaches in modern investigative research.</w:t>
      </w:r>
    </w:p>
    <w:p w:rsidR="00F11F8F" w:rsidRPr="00053245" w:rsidRDefault="00F11F8F" w:rsidP="00CD794D">
      <w:pPr>
        <w:pStyle w:val="QAhandbookheading1"/>
        <w:rPr>
          <w:highlight w:val="yellow"/>
        </w:rPr>
      </w:pPr>
    </w:p>
    <w:p w:rsidR="00956B40" w:rsidRPr="00053245" w:rsidRDefault="00956B40" w:rsidP="003439FE">
      <w:pPr>
        <w:pStyle w:val="QAhandbookheading1"/>
        <w:keepNext/>
        <w:rPr>
          <w:sz w:val="28"/>
          <w:szCs w:val="28"/>
        </w:rPr>
      </w:pPr>
      <w:r w:rsidRPr="00053245">
        <w:rPr>
          <w:sz w:val="28"/>
          <w:szCs w:val="28"/>
        </w:rPr>
        <w:lastRenderedPageBreak/>
        <w:t>Summary of teaching and learning methods</w:t>
      </w:r>
    </w:p>
    <w:p w:rsidR="00B34D1A" w:rsidRPr="00053245" w:rsidRDefault="00EF5E1F" w:rsidP="003439FE">
      <w:pPr>
        <w:keepNext/>
      </w:pPr>
      <w:r>
        <w:pict>
          <v:rect id="_x0000_i1028" style="width:0;height:1.5pt" o:hralign="center" o:hrstd="t" o:hr="t" fillcolor="#aca899" stroked="f"/>
        </w:pict>
      </w:r>
    </w:p>
    <w:p w:rsidR="00956B40" w:rsidRPr="00053245" w:rsidRDefault="00C74B24" w:rsidP="003439FE">
      <w:pPr>
        <w:keepNext/>
        <w:rPr>
          <w:b/>
          <w:bCs/>
          <w:highlight w:val="yellow"/>
          <w:u w:val="single"/>
        </w:rPr>
      </w:pPr>
      <w:r w:rsidRPr="00053245">
        <w:rPr>
          <w:b/>
          <w:bCs/>
          <w:sz w:val="32"/>
          <w:szCs w:val="32"/>
          <w:u w:val="single"/>
        </w:rPr>
        <w:t>*</w:t>
      </w:r>
      <w:r w:rsidR="00B34D1A" w:rsidRPr="00053245">
        <w:rPr>
          <w:b/>
          <w:bCs/>
          <w:u w:val="single"/>
        </w:rPr>
        <w:t>D</w:t>
      </w:r>
      <w:r w:rsidR="00956B40" w:rsidRPr="00053245">
        <w:rPr>
          <w:b/>
          <w:bCs/>
          <w:u w:val="single"/>
        </w:rPr>
        <w:t>escription</w:t>
      </w:r>
    </w:p>
    <w:p w:rsidR="00956B40" w:rsidRPr="00053245" w:rsidRDefault="00956B40" w:rsidP="003439FE">
      <w:pPr>
        <w:keepNext/>
        <w:rPr>
          <w:highlight w:val="yellow"/>
        </w:rPr>
      </w:pPr>
    </w:p>
    <w:p w:rsidR="000E0F7C" w:rsidRPr="00053245" w:rsidRDefault="003F5F92" w:rsidP="003439FE">
      <w:pPr>
        <w:keepNext/>
        <w:rPr>
          <w:sz w:val="20"/>
          <w:szCs w:val="20"/>
        </w:rPr>
      </w:pPr>
      <w:r w:rsidRPr="00053245">
        <w:rPr>
          <w:sz w:val="20"/>
          <w:szCs w:val="20"/>
        </w:rPr>
        <w:t>In addition to the specific outline and supporting documentation for the CIP module s</w:t>
      </w:r>
      <w:r w:rsidR="007325FD" w:rsidRPr="00053245">
        <w:rPr>
          <w:sz w:val="20"/>
          <w:szCs w:val="20"/>
        </w:rPr>
        <w:t xml:space="preserve">tudents </w:t>
      </w:r>
      <w:r w:rsidRPr="00053245">
        <w:rPr>
          <w:sz w:val="20"/>
          <w:szCs w:val="20"/>
        </w:rPr>
        <w:t>will</w:t>
      </w:r>
      <w:r w:rsidR="007325FD" w:rsidRPr="00053245">
        <w:rPr>
          <w:sz w:val="20"/>
          <w:szCs w:val="20"/>
        </w:rPr>
        <w:t xml:space="preserve"> be sent a </w:t>
      </w:r>
      <w:r w:rsidR="00C977E2" w:rsidRPr="00053245">
        <w:rPr>
          <w:sz w:val="20"/>
          <w:szCs w:val="20"/>
        </w:rPr>
        <w:t>F</w:t>
      </w:r>
      <w:r w:rsidR="007325FD" w:rsidRPr="00053245">
        <w:rPr>
          <w:sz w:val="20"/>
          <w:szCs w:val="20"/>
        </w:rPr>
        <w:t xml:space="preserve">ield </w:t>
      </w:r>
      <w:r w:rsidR="00C977E2" w:rsidRPr="00053245">
        <w:rPr>
          <w:sz w:val="20"/>
          <w:szCs w:val="20"/>
        </w:rPr>
        <w:t>S</w:t>
      </w:r>
      <w:r w:rsidR="007325FD" w:rsidRPr="00053245">
        <w:rPr>
          <w:sz w:val="20"/>
          <w:szCs w:val="20"/>
        </w:rPr>
        <w:t xml:space="preserve">chool </w:t>
      </w:r>
      <w:r w:rsidR="00C977E2" w:rsidRPr="00053245">
        <w:rPr>
          <w:sz w:val="20"/>
          <w:szCs w:val="20"/>
        </w:rPr>
        <w:t>H</w:t>
      </w:r>
      <w:r w:rsidR="007325FD" w:rsidRPr="00053245">
        <w:rPr>
          <w:sz w:val="20"/>
          <w:szCs w:val="20"/>
        </w:rPr>
        <w:t>andbook in advance with brief introduction to the site</w:t>
      </w:r>
      <w:r w:rsidR="005C3E1D" w:rsidRPr="00053245">
        <w:rPr>
          <w:sz w:val="20"/>
          <w:szCs w:val="20"/>
        </w:rPr>
        <w:t>, outlining aims and results of the excavation.</w:t>
      </w:r>
      <w:r w:rsidR="007325FD" w:rsidRPr="00053245">
        <w:rPr>
          <w:sz w:val="20"/>
          <w:szCs w:val="20"/>
        </w:rPr>
        <w:t xml:space="preserve"> It </w:t>
      </w:r>
      <w:r w:rsidRPr="00053245">
        <w:rPr>
          <w:sz w:val="20"/>
          <w:szCs w:val="20"/>
        </w:rPr>
        <w:t>will</w:t>
      </w:r>
      <w:r w:rsidR="007325FD" w:rsidRPr="00053245">
        <w:rPr>
          <w:sz w:val="20"/>
          <w:szCs w:val="20"/>
        </w:rPr>
        <w:t xml:space="preserve"> contain </w:t>
      </w:r>
      <w:r w:rsidR="00E40D19" w:rsidRPr="00053245">
        <w:rPr>
          <w:sz w:val="20"/>
          <w:szCs w:val="20"/>
        </w:rPr>
        <w:t>a suggested reading list</w:t>
      </w:r>
      <w:r w:rsidR="007325FD" w:rsidRPr="00053245">
        <w:rPr>
          <w:sz w:val="20"/>
          <w:szCs w:val="20"/>
        </w:rPr>
        <w:t xml:space="preserve">, </w:t>
      </w:r>
      <w:r w:rsidR="000E0F7C" w:rsidRPr="00053245">
        <w:rPr>
          <w:sz w:val="20"/>
          <w:szCs w:val="20"/>
        </w:rPr>
        <w:t xml:space="preserve">an </w:t>
      </w:r>
      <w:r w:rsidR="007325FD" w:rsidRPr="00053245">
        <w:rPr>
          <w:sz w:val="20"/>
          <w:szCs w:val="20"/>
        </w:rPr>
        <w:t>outlin</w:t>
      </w:r>
      <w:r w:rsidR="000E0F7C" w:rsidRPr="00053245">
        <w:rPr>
          <w:sz w:val="20"/>
          <w:szCs w:val="20"/>
        </w:rPr>
        <w:t xml:space="preserve">e of </w:t>
      </w:r>
      <w:r w:rsidR="007325FD" w:rsidRPr="00053245">
        <w:rPr>
          <w:sz w:val="20"/>
          <w:szCs w:val="20"/>
        </w:rPr>
        <w:t xml:space="preserve">basic </w:t>
      </w:r>
      <w:r w:rsidR="000E0F7C" w:rsidRPr="00053245">
        <w:rPr>
          <w:sz w:val="20"/>
          <w:szCs w:val="20"/>
        </w:rPr>
        <w:t xml:space="preserve">archaeological </w:t>
      </w:r>
      <w:r w:rsidR="007325FD" w:rsidRPr="00053245">
        <w:rPr>
          <w:sz w:val="20"/>
          <w:szCs w:val="20"/>
        </w:rPr>
        <w:t>techniques and terminology, sample context sheet</w:t>
      </w:r>
      <w:r w:rsidR="000E0F7C" w:rsidRPr="00053245">
        <w:rPr>
          <w:sz w:val="20"/>
          <w:szCs w:val="20"/>
        </w:rPr>
        <w:t>s</w:t>
      </w:r>
      <w:r w:rsidR="005C3E1D" w:rsidRPr="00053245">
        <w:rPr>
          <w:sz w:val="20"/>
          <w:szCs w:val="20"/>
        </w:rPr>
        <w:t>, Health and Safety regulations, an explanation of the processes of assessment</w:t>
      </w:r>
      <w:r w:rsidR="00FD0FCE" w:rsidRPr="00053245">
        <w:rPr>
          <w:sz w:val="20"/>
          <w:szCs w:val="20"/>
        </w:rPr>
        <w:t xml:space="preserve"> etc.</w:t>
      </w:r>
      <w:r w:rsidR="00E40D19" w:rsidRPr="00053245">
        <w:rPr>
          <w:sz w:val="20"/>
          <w:szCs w:val="20"/>
        </w:rPr>
        <w:t xml:space="preserve"> </w:t>
      </w:r>
    </w:p>
    <w:p w:rsidR="00FD0FCE" w:rsidRPr="00053245" w:rsidRDefault="00FD0FCE" w:rsidP="00E822A0">
      <w:pPr>
        <w:rPr>
          <w:sz w:val="20"/>
          <w:szCs w:val="20"/>
        </w:rPr>
      </w:pPr>
    </w:p>
    <w:p w:rsidR="00ED7C61" w:rsidRPr="00053245" w:rsidRDefault="00FD0FCE" w:rsidP="00ED7C61">
      <w:pPr>
        <w:rPr>
          <w:sz w:val="20"/>
          <w:szCs w:val="20"/>
        </w:rPr>
      </w:pPr>
      <w:r w:rsidRPr="00053245">
        <w:rPr>
          <w:sz w:val="20"/>
          <w:szCs w:val="20"/>
        </w:rPr>
        <w:t xml:space="preserve">An online forum will be set up in </w:t>
      </w:r>
      <w:r w:rsidR="005B123E" w:rsidRPr="00053245">
        <w:rPr>
          <w:sz w:val="20"/>
          <w:szCs w:val="20"/>
        </w:rPr>
        <w:t>advance of the fieldwork where all participants of the field</w:t>
      </w:r>
      <w:r w:rsidR="0091283F" w:rsidRPr="00053245">
        <w:rPr>
          <w:sz w:val="20"/>
          <w:szCs w:val="20"/>
        </w:rPr>
        <w:t xml:space="preserve"> </w:t>
      </w:r>
      <w:r w:rsidR="005B123E" w:rsidRPr="00053245">
        <w:rPr>
          <w:sz w:val="20"/>
          <w:szCs w:val="20"/>
        </w:rPr>
        <w:t xml:space="preserve">school can discuss various aspects of the site, fieldwork, the set reading, </w:t>
      </w:r>
      <w:r w:rsidR="001370DD" w:rsidRPr="00053245">
        <w:rPr>
          <w:sz w:val="20"/>
          <w:szCs w:val="20"/>
        </w:rPr>
        <w:t xml:space="preserve">learning outcome expectations, </w:t>
      </w:r>
      <w:r w:rsidR="005B123E" w:rsidRPr="00053245">
        <w:rPr>
          <w:sz w:val="20"/>
          <w:szCs w:val="20"/>
        </w:rPr>
        <w:t>etc. This forum will remain open in the months following the field</w:t>
      </w:r>
      <w:r w:rsidR="0091283F" w:rsidRPr="00053245">
        <w:rPr>
          <w:sz w:val="20"/>
          <w:szCs w:val="20"/>
        </w:rPr>
        <w:t xml:space="preserve"> </w:t>
      </w:r>
      <w:r w:rsidR="005B123E" w:rsidRPr="00053245">
        <w:rPr>
          <w:sz w:val="20"/>
          <w:szCs w:val="20"/>
        </w:rPr>
        <w:t>school</w:t>
      </w:r>
      <w:r w:rsidR="00ED7C61" w:rsidRPr="00053245">
        <w:rPr>
          <w:sz w:val="20"/>
          <w:szCs w:val="20"/>
        </w:rPr>
        <w:t xml:space="preserve">. </w:t>
      </w:r>
      <w:r w:rsidR="005B123E" w:rsidRPr="00053245">
        <w:rPr>
          <w:sz w:val="20"/>
          <w:szCs w:val="20"/>
        </w:rPr>
        <w:t xml:space="preserve"> </w:t>
      </w:r>
      <w:r w:rsidR="003F5F92" w:rsidRPr="00053245">
        <w:rPr>
          <w:sz w:val="20"/>
          <w:szCs w:val="20"/>
        </w:rPr>
        <w:t>CIP Portus s</w:t>
      </w:r>
      <w:r w:rsidR="00ED7C61" w:rsidRPr="00053245">
        <w:rPr>
          <w:sz w:val="20"/>
          <w:szCs w:val="20"/>
        </w:rPr>
        <w:t xml:space="preserve">tudents will be encouraged to address learning outcomes provided in advance of the fieldwork as a preparation and to reflect on their </w:t>
      </w:r>
      <w:r w:rsidR="0052660D" w:rsidRPr="00053245">
        <w:rPr>
          <w:sz w:val="20"/>
          <w:szCs w:val="20"/>
        </w:rPr>
        <w:t>fieldwork learning experience afterwards</w:t>
      </w:r>
      <w:r w:rsidR="00ED7C61" w:rsidRPr="00053245">
        <w:rPr>
          <w:sz w:val="20"/>
          <w:szCs w:val="20"/>
        </w:rPr>
        <w:t>. Mentors will be on hand to assist students in both phases.</w:t>
      </w:r>
    </w:p>
    <w:p w:rsidR="00AD4006" w:rsidRPr="00053245" w:rsidRDefault="00AD4006" w:rsidP="00E822A0">
      <w:pPr>
        <w:rPr>
          <w:sz w:val="20"/>
          <w:szCs w:val="20"/>
        </w:rPr>
      </w:pPr>
    </w:p>
    <w:p w:rsidR="00AD4006" w:rsidRPr="00053245" w:rsidRDefault="003F5F92" w:rsidP="00AD4006">
      <w:pPr>
        <w:rPr>
          <w:sz w:val="20"/>
          <w:szCs w:val="20"/>
        </w:rPr>
      </w:pPr>
      <w:r w:rsidRPr="00053245">
        <w:rPr>
          <w:sz w:val="20"/>
          <w:szCs w:val="20"/>
        </w:rPr>
        <w:t xml:space="preserve">A </w:t>
      </w:r>
      <w:r w:rsidR="00AD4006" w:rsidRPr="00053245">
        <w:rPr>
          <w:sz w:val="20"/>
          <w:szCs w:val="20"/>
        </w:rPr>
        <w:t xml:space="preserve">unique learning environment will be created at the site, where </w:t>
      </w:r>
      <w:r w:rsidR="009A5130" w:rsidRPr="00053245">
        <w:rPr>
          <w:sz w:val="20"/>
          <w:szCs w:val="20"/>
        </w:rPr>
        <w:t xml:space="preserve">students will work alongside </w:t>
      </w:r>
      <w:r w:rsidR="00AD4006" w:rsidRPr="00053245">
        <w:rPr>
          <w:sz w:val="20"/>
          <w:szCs w:val="20"/>
        </w:rPr>
        <w:t xml:space="preserve">experts </w:t>
      </w:r>
      <w:r w:rsidR="009A5130" w:rsidRPr="00053245">
        <w:rPr>
          <w:sz w:val="20"/>
          <w:szCs w:val="20"/>
        </w:rPr>
        <w:t xml:space="preserve">and instructors, as well as </w:t>
      </w:r>
      <w:r w:rsidR="00AD4006" w:rsidRPr="00053245">
        <w:rPr>
          <w:sz w:val="20"/>
          <w:szCs w:val="20"/>
        </w:rPr>
        <w:t>students with different subject backgrounds</w:t>
      </w:r>
      <w:r w:rsidR="009A5130" w:rsidRPr="00053245">
        <w:rPr>
          <w:sz w:val="20"/>
          <w:szCs w:val="20"/>
        </w:rPr>
        <w:t xml:space="preserve">. This set up will result in an unprecedented number of contact hours, while working side by side with students with different expertise </w:t>
      </w:r>
      <w:r w:rsidR="00AD4006" w:rsidRPr="00053245">
        <w:rPr>
          <w:sz w:val="20"/>
          <w:szCs w:val="20"/>
        </w:rPr>
        <w:t>will be conducive to peer-assisted</w:t>
      </w:r>
      <w:r w:rsidR="00E40D19" w:rsidRPr="00053245">
        <w:rPr>
          <w:sz w:val="20"/>
          <w:szCs w:val="20"/>
        </w:rPr>
        <w:t xml:space="preserve"> learning.</w:t>
      </w:r>
      <w:r w:rsidR="009A5130" w:rsidRPr="00053245">
        <w:rPr>
          <w:sz w:val="20"/>
          <w:szCs w:val="20"/>
        </w:rPr>
        <w:t xml:space="preserve"> </w:t>
      </w:r>
    </w:p>
    <w:p w:rsidR="007844F3" w:rsidRPr="00053245" w:rsidRDefault="007844F3" w:rsidP="00A60142">
      <w:pPr>
        <w:rPr>
          <w:sz w:val="20"/>
          <w:szCs w:val="20"/>
        </w:rPr>
      </w:pPr>
    </w:p>
    <w:p w:rsidR="007844F3" w:rsidRPr="00053245" w:rsidRDefault="00FD0FCE" w:rsidP="007844F3">
      <w:pPr>
        <w:rPr>
          <w:sz w:val="20"/>
          <w:szCs w:val="20"/>
        </w:rPr>
      </w:pPr>
      <w:r w:rsidRPr="00053245">
        <w:rPr>
          <w:sz w:val="20"/>
          <w:szCs w:val="20"/>
        </w:rPr>
        <w:t>During the field season s</w:t>
      </w:r>
      <w:r w:rsidR="00A60142" w:rsidRPr="00053245">
        <w:rPr>
          <w:sz w:val="20"/>
          <w:szCs w:val="20"/>
        </w:rPr>
        <w:t xml:space="preserve">tudents </w:t>
      </w:r>
      <w:r w:rsidR="003F5F92" w:rsidRPr="00053245">
        <w:rPr>
          <w:sz w:val="20"/>
          <w:szCs w:val="20"/>
        </w:rPr>
        <w:t>will</w:t>
      </w:r>
      <w:r w:rsidR="00A60142" w:rsidRPr="00053245">
        <w:rPr>
          <w:sz w:val="20"/>
          <w:szCs w:val="20"/>
        </w:rPr>
        <w:t xml:space="preserve"> be asked to keep a </w:t>
      </w:r>
      <w:r w:rsidR="00C977E2" w:rsidRPr="00053245">
        <w:rPr>
          <w:sz w:val="20"/>
          <w:szCs w:val="20"/>
        </w:rPr>
        <w:t xml:space="preserve">paper </w:t>
      </w:r>
      <w:r w:rsidR="00A60142" w:rsidRPr="00053245">
        <w:rPr>
          <w:sz w:val="20"/>
          <w:szCs w:val="20"/>
        </w:rPr>
        <w:t xml:space="preserve">field journal in which they </w:t>
      </w:r>
      <w:r w:rsidR="003F5F92" w:rsidRPr="00053245">
        <w:rPr>
          <w:sz w:val="20"/>
          <w:szCs w:val="20"/>
        </w:rPr>
        <w:t>will</w:t>
      </w:r>
      <w:r w:rsidR="00A60142" w:rsidRPr="00053245">
        <w:rPr>
          <w:sz w:val="20"/>
          <w:szCs w:val="20"/>
        </w:rPr>
        <w:t xml:space="preserve"> record the work they are doing on daily basis as well as their observations about the progress of the trench that they have been assigned</w:t>
      </w:r>
      <w:r w:rsidR="001F5301" w:rsidRPr="00053245">
        <w:rPr>
          <w:sz w:val="20"/>
          <w:szCs w:val="20"/>
        </w:rPr>
        <w:t xml:space="preserve"> to</w:t>
      </w:r>
      <w:r w:rsidR="00A60142" w:rsidRPr="00053245">
        <w:rPr>
          <w:sz w:val="20"/>
          <w:szCs w:val="20"/>
        </w:rPr>
        <w:t xml:space="preserve">. </w:t>
      </w:r>
      <w:r w:rsidR="00DE7745" w:rsidRPr="00053245">
        <w:rPr>
          <w:sz w:val="20"/>
          <w:szCs w:val="20"/>
        </w:rPr>
        <w:t xml:space="preserve">This exercise </w:t>
      </w:r>
      <w:r w:rsidR="003F5F92" w:rsidRPr="00053245">
        <w:rPr>
          <w:sz w:val="20"/>
          <w:szCs w:val="20"/>
        </w:rPr>
        <w:t>will</w:t>
      </w:r>
      <w:r w:rsidR="00DE7745" w:rsidRPr="00053245">
        <w:rPr>
          <w:sz w:val="20"/>
          <w:szCs w:val="20"/>
        </w:rPr>
        <w:t xml:space="preserve"> foster reflective learning. </w:t>
      </w:r>
      <w:r w:rsidR="00A60142" w:rsidRPr="00053245">
        <w:rPr>
          <w:sz w:val="20"/>
          <w:szCs w:val="20"/>
        </w:rPr>
        <w:t>Th</w:t>
      </w:r>
      <w:r w:rsidR="00DE7745" w:rsidRPr="00053245">
        <w:rPr>
          <w:sz w:val="20"/>
          <w:szCs w:val="20"/>
        </w:rPr>
        <w:t>e</w:t>
      </w:r>
      <w:r w:rsidR="00A60142" w:rsidRPr="00053245">
        <w:rPr>
          <w:sz w:val="20"/>
          <w:szCs w:val="20"/>
        </w:rPr>
        <w:t xml:space="preserve"> journal will be read by the field </w:t>
      </w:r>
      <w:r w:rsidRPr="00053245">
        <w:rPr>
          <w:sz w:val="20"/>
          <w:szCs w:val="20"/>
        </w:rPr>
        <w:t>school supervisor (D. Mladenovi</w:t>
      </w:r>
      <w:r w:rsidRPr="00053245">
        <w:rPr>
          <w:rFonts w:ascii="Arial" w:hAnsi="Arial" w:cs="Arial" w:hint="eastAsia"/>
          <w:sz w:val="20"/>
          <w:szCs w:val="20"/>
        </w:rPr>
        <w:t>ć</w:t>
      </w:r>
      <w:r w:rsidR="00A60142" w:rsidRPr="00053245">
        <w:rPr>
          <w:sz w:val="20"/>
          <w:szCs w:val="20"/>
        </w:rPr>
        <w:t xml:space="preserve">) and discussed with the student at weekly meetings. These meetings will be used to </w:t>
      </w:r>
      <w:r w:rsidR="00133AE8" w:rsidRPr="00053245">
        <w:rPr>
          <w:sz w:val="20"/>
          <w:szCs w:val="20"/>
        </w:rPr>
        <w:t xml:space="preserve">provide feedback on the journal entries and </w:t>
      </w:r>
      <w:r w:rsidR="00A60142" w:rsidRPr="00053245">
        <w:rPr>
          <w:sz w:val="20"/>
          <w:szCs w:val="20"/>
        </w:rPr>
        <w:t xml:space="preserve">discuss students’ learning experience and </w:t>
      </w:r>
      <w:r w:rsidR="00133AE8" w:rsidRPr="00053245">
        <w:rPr>
          <w:sz w:val="20"/>
          <w:szCs w:val="20"/>
        </w:rPr>
        <w:t>progress towards achieving the intended learning outcomes</w:t>
      </w:r>
      <w:r w:rsidR="00A60142" w:rsidRPr="00053245">
        <w:rPr>
          <w:sz w:val="20"/>
          <w:szCs w:val="20"/>
        </w:rPr>
        <w:t xml:space="preserve">. </w:t>
      </w:r>
    </w:p>
    <w:p w:rsidR="001F5301" w:rsidRPr="00053245" w:rsidRDefault="001F5301" w:rsidP="007844F3">
      <w:pPr>
        <w:rPr>
          <w:sz w:val="20"/>
          <w:szCs w:val="20"/>
        </w:rPr>
      </w:pPr>
    </w:p>
    <w:p w:rsidR="001F5301" w:rsidRPr="00053245" w:rsidRDefault="001F5301" w:rsidP="007844F3">
      <w:pPr>
        <w:rPr>
          <w:sz w:val="20"/>
          <w:szCs w:val="20"/>
        </w:rPr>
      </w:pPr>
      <w:r w:rsidRPr="00053245">
        <w:rPr>
          <w:sz w:val="20"/>
          <w:szCs w:val="20"/>
        </w:rPr>
        <w:t xml:space="preserve">Each student will be expected to submit their </w:t>
      </w:r>
      <w:r w:rsidR="007C7965" w:rsidRPr="00053245">
        <w:rPr>
          <w:sz w:val="20"/>
          <w:szCs w:val="20"/>
        </w:rPr>
        <w:t xml:space="preserve">a Fieldwork Report, based on their fieldwork journal entries and now containing relevant illustrations, site documentation and a concluding statement, </w:t>
      </w:r>
      <w:r w:rsidRPr="00053245">
        <w:rPr>
          <w:sz w:val="20"/>
          <w:szCs w:val="20"/>
        </w:rPr>
        <w:t xml:space="preserve">for formal assessment at the end of the course. </w:t>
      </w:r>
      <w:r w:rsidR="00ED7C61" w:rsidRPr="00053245">
        <w:rPr>
          <w:sz w:val="20"/>
          <w:szCs w:val="20"/>
        </w:rPr>
        <w:t>Production of this</w:t>
      </w:r>
      <w:r w:rsidRPr="00053245">
        <w:rPr>
          <w:sz w:val="20"/>
          <w:szCs w:val="20"/>
        </w:rPr>
        <w:t xml:space="preserve"> pieces of written work will develop not only student’s knowledge and understanding of the</w:t>
      </w:r>
      <w:r w:rsidR="00ED7C61" w:rsidRPr="00053245">
        <w:rPr>
          <w:sz w:val="20"/>
          <w:szCs w:val="20"/>
        </w:rPr>
        <w:t xml:space="preserve"> work undertaken</w:t>
      </w:r>
      <w:r w:rsidRPr="00053245">
        <w:rPr>
          <w:sz w:val="20"/>
          <w:szCs w:val="20"/>
        </w:rPr>
        <w:t>, but will also require good time management, independent research and will help cultivate writing skills.</w:t>
      </w:r>
    </w:p>
    <w:p w:rsidR="00F11F8F" w:rsidRPr="00053245" w:rsidRDefault="00F11F8F" w:rsidP="00CD794D">
      <w:pPr>
        <w:rPr>
          <w:highlight w:val="yellow"/>
        </w:rPr>
      </w:pPr>
    </w:p>
    <w:p w:rsidR="00F11F8F" w:rsidRPr="00053245" w:rsidRDefault="00C74B24" w:rsidP="001370DD">
      <w:pPr>
        <w:keepNext/>
        <w:rPr>
          <w:b/>
          <w:bCs/>
          <w:u w:val="single"/>
        </w:rPr>
      </w:pPr>
      <w:r w:rsidRPr="00053245">
        <w:rPr>
          <w:b/>
          <w:bCs/>
          <w:sz w:val="32"/>
          <w:szCs w:val="32"/>
          <w:u w:val="single"/>
        </w:rPr>
        <w:t>*</w:t>
      </w:r>
      <w:r w:rsidR="00F11F8F" w:rsidRPr="00053245">
        <w:rPr>
          <w:b/>
          <w:bCs/>
          <w:u w:val="single"/>
        </w:rPr>
        <w:t>How is this module innovative in delivery?</w:t>
      </w:r>
    </w:p>
    <w:p w:rsidR="00B34D1A" w:rsidRPr="00053245" w:rsidRDefault="00B34D1A" w:rsidP="001370DD">
      <w:pPr>
        <w:keepNext/>
        <w:rPr>
          <w:highlight w:val="yellow"/>
        </w:rPr>
      </w:pPr>
    </w:p>
    <w:p w:rsidR="00FD0FCE" w:rsidRPr="00053245" w:rsidRDefault="00FD0FCE" w:rsidP="001370DD">
      <w:pPr>
        <w:pStyle w:val="QAhandbookheading1"/>
        <w:keepNext/>
        <w:rPr>
          <w:b w:val="0"/>
          <w:sz w:val="20"/>
          <w:szCs w:val="20"/>
        </w:rPr>
      </w:pPr>
    </w:p>
    <w:p w:rsidR="00D06612" w:rsidRPr="00053245" w:rsidRDefault="00D06612" w:rsidP="00D06612">
      <w:pPr>
        <w:pStyle w:val="QAhandbookheading1"/>
        <w:rPr>
          <w:b w:val="0"/>
          <w:sz w:val="20"/>
          <w:szCs w:val="20"/>
        </w:rPr>
      </w:pPr>
      <w:r w:rsidRPr="00053245">
        <w:rPr>
          <w:i/>
          <w:sz w:val="20"/>
          <w:szCs w:val="20"/>
        </w:rPr>
        <w:t>Provision of hands-on training</w:t>
      </w:r>
      <w:r w:rsidRPr="00053245">
        <w:rPr>
          <w:b w:val="0"/>
          <w:sz w:val="20"/>
          <w:szCs w:val="20"/>
        </w:rPr>
        <w:t xml:space="preserve">: There are currently no other mechanisms at the University that offer practical training in archaeological fieldwork aimed at a non-archaeological audience. The </w:t>
      </w:r>
      <w:r w:rsidR="000C43D9" w:rsidRPr="00053245">
        <w:rPr>
          <w:b w:val="0"/>
          <w:sz w:val="20"/>
          <w:szCs w:val="20"/>
        </w:rPr>
        <w:t>CIP Portus module</w:t>
      </w:r>
      <w:r w:rsidRPr="00053245">
        <w:rPr>
          <w:b w:val="0"/>
          <w:sz w:val="20"/>
          <w:szCs w:val="20"/>
        </w:rPr>
        <w:t xml:space="preserve"> will also </w:t>
      </w:r>
      <w:r w:rsidR="000C43D9" w:rsidRPr="00053245">
        <w:rPr>
          <w:b w:val="0"/>
          <w:sz w:val="20"/>
          <w:szCs w:val="20"/>
        </w:rPr>
        <w:t>make use of</w:t>
      </w:r>
      <w:r w:rsidRPr="00053245">
        <w:rPr>
          <w:b w:val="0"/>
          <w:sz w:val="20"/>
          <w:szCs w:val="20"/>
        </w:rPr>
        <w:t xml:space="preserve"> the cutting-edge digital technologies which characterise the Portus Project, and through this </w:t>
      </w:r>
      <w:r w:rsidR="000C43D9" w:rsidRPr="00053245">
        <w:rPr>
          <w:b w:val="0"/>
          <w:sz w:val="20"/>
          <w:szCs w:val="20"/>
        </w:rPr>
        <w:t xml:space="preserve">provide </w:t>
      </w:r>
      <w:r w:rsidRPr="00053245">
        <w:rPr>
          <w:b w:val="0"/>
          <w:sz w:val="20"/>
          <w:szCs w:val="20"/>
        </w:rPr>
        <w:t>exposure to novel research tools and methods.</w:t>
      </w:r>
    </w:p>
    <w:p w:rsidR="00D06612" w:rsidRPr="00053245" w:rsidRDefault="00D06612" w:rsidP="00D06612">
      <w:pPr>
        <w:pStyle w:val="QAhandbookheading1"/>
        <w:keepNext/>
        <w:rPr>
          <w:b w:val="0"/>
          <w:sz w:val="20"/>
          <w:szCs w:val="20"/>
        </w:rPr>
      </w:pPr>
    </w:p>
    <w:p w:rsidR="00D06612" w:rsidRPr="00053245" w:rsidRDefault="00D06612" w:rsidP="00D06612">
      <w:pPr>
        <w:rPr>
          <w:sz w:val="20"/>
          <w:szCs w:val="20"/>
        </w:rPr>
      </w:pPr>
      <w:r w:rsidRPr="00053245">
        <w:rPr>
          <w:b/>
          <w:i/>
          <w:sz w:val="20"/>
          <w:szCs w:val="20"/>
        </w:rPr>
        <w:t>Introduction of formative feedback and self-assessment</w:t>
      </w:r>
      <w:r w:rsidRPr="00053245">
        <w:rPr>
          <w:sz w:val="20"/>
          <w:szCs w:val="20"/>
        </w:rPr>
        <w:t xml:space="preserve">: Weekly on-site meetings will provide a chance for </w:t>
      </w:r>
      <w:r w:rsidR="000C43D9" w:rsidRPr="00053245">
        <w:rPr>
          <w:sz w:val="20"/>
          <w:szCs w:val="20"/>
        </w:rPr>
        <w:t xml:space="preserve">CIP Portus </w:t>
      </w:r>
      <w:r w:rsidRPr="00053245">
        <w:rPr>
          <w:sz w:val="20"/>
          <w:szCs w:val="20"/>
        </w:rPr>
        <w:t xml:space="preserve">students to receive formative (i.e. non-assessed) feedback. They will also give students the opportunity not only to monitor the different skills gained whilst on site, but also to reflect critically on their own performance. </w:t>
      </w:r>
    </w:p>
    <w:p w:rsidR="00D06612" w:rsidRPr="00053245" w:rsidRDefault="00D06612" w:rsidP="00D06612">
      <w:pPr>
        <w:pStyle w:val="QAhandbookheading1"/>
        <w:keepNext/>
        <w:rPr>
          <w:i/>
          <w:sz w:val="20"/>
          <w:szCs w:val="20"/>
        </w:rPr>
      </w:pPr>
    </w:p>
    <w:p w:rsidR="00D06612" w:rsidRPr="00053245" w:rsidRDefault="00D06612" w:rsidP="00D06612">
      <w:pPr>
        <w:pStyle w:val="QAhandbookheading1"/>
        <w:keepNext/>
        <w:rPr>
          <w:b w:val="0"/>
          <w:sz w:val="20"/>
          <w:szCs w:val="20"/>
        </w:rPr>
      </w:pPr>
      <w:r w:rsidRPr="00053245">
        <w:rPr>
          <w:i/>
          <w:sz w:val="20"/>
          <w:szCs w:val="20"/>
        </w:rPr>
        <w:t>Introduction of peer-assisted learning</w:t>
      </w:r>
      <w:r w:rsidRPr="00053245">
        <w:rPr>
          <w:b w:val="0"/>
          <w:sz w:val="20"/>
          <w:szCs w:val="20"/>
        </w:rPr>
        <w:t xml:space="preserve">: The </w:t>
      </w:r>
      <w:r w:rsidR="000C43D9" w:rsidRPr="00053245">
        <w:rPr>
          <w:b w:val="0"/>
          <w:sz w:val="20"/>
          <w:szCs w:val="20"/>
        </w:rPr>
        <w:t xml:space="preserve">CIP Portus students will join the other </w:t>
      </w:r>
      <w:r w:rsidRPr="00053245">
        <w:rPr>
          <w:b w:val="0"/>
          <w:sz w:val="20"/>
          <w:szCs w:val="20"/>
        </w:rPr>
        <w:t xml:space="preserve">field school participants </w:t>
      </w:r>
      <w:r w:rsidR="000C43D9" w:rsidRPr="00053245">
        <w:rPr>
          <w:b w:val="0"/>
          <w:sz w:val="20"/>
          <w:szCs w:val="20"/>
        </w:rPr>
        <w:t xml:space="preserve">who together </w:t>
      </w:r>
      <w:r w:rsidRPr="00053245">
        <w:rPr>
          <w:b w:val="0"/>
          <w:sz w:val="20"/>
          <w:szCs w:val="20"/>
        </w:rPr>
        <w:t>will be from a very broad background</w:t>
      </w:r>
      <w:r w:rsidR="000C43D9" w:rsidRPr="00053245">
        <w:rPr>
          <w:b w:val="0"/>
          <w:sz w:val="20"/>
          <w:szCs w:val="20"/>
        </w:rPr>
        <w:t>. This will provide a dynamic and powerful</w:t>
      </w:r>
      <w:r w:rsidRPr="00053245">
        <w:rPr>
          <w:b w:val="0"/>
          <w:sz w:val="20"/>
          <w:szCs w:val="20"/>
        </w:rPr>
        <w:t xml:space="preserve"> context for peer assisted learning. Crucially the three-week interaction on site will be supported by an online forum to which all field school participants will belong. Each year after initial interactions online this shared community will then meet physically on site at the start of the three week season. After the season the forum will continue, and feed into support for </w:t>
      </w:r>
      <w:r w:rsidR="000C43D9" w:rsidRPr="00053245">
        <w:rPr>
          <w:b w:val="0"/>
          <w:sz w:val="20"/>
          <w:szCs w:val="20"/>
        </w:rPr>
        <w:t>the CIP Portus module’s</w:t>
      </w:r>
      <w:r w:rsidRPr="00053245">
        <w:rPr>
          <w:b w:val="0"/>
          <w:sz w:val="20"/>
          <w:szCs w:val="20"/>
        </w:rPr>
        <w:t xml:space="preserve"> formal assessments. In addition to providing archaeological input all students will gain considerably by exposure to a broad range of disciplines, and be able to reflect on the interaction between these disciplines and their own interdisciplinary practice. The Digital </w:t>
      </w:r>
      <w:r w:rsidRPr="00053245">
        <w:rPr>
          <w:b w:val="0"/>
          <w:sz w:val="20"/>
          <w:szCs w:val="20"/>
        </w:rPr>
        <w:lastRenderedPageBreak/>
        <w:t xml:space="preserve">Champions (funded by CITE and Student </w:t>
      </w:r>
      <w:proofErr w:type="spellStart"/>
      <w:r w:rsidRPr="00053245">
        <w:rPr>
          <w:b w:val="0"/>
          <w:sz w:val="20"/>
          <w:szCs w:val="20"/>
        </w:rPr>
        <w:t>Centredness</w:t>
      </w:r>
      <w:proofErr w:type="spellEnd"/>
      <w:r w:rsidRPr="00053245">
        <w:rPr>
          <w:b w:val="0"/>
          <w:sz w:val="20"/>
          <w:szCs w:val="20"/>
        </w:rPr>
        <w:t>) will be available to assist with the forums and with other forms of online communication in advance of and following the fieldwork.</w:t>
      </w:r>
    </w:p>
    <w:p w:rsidR="00D06612" w:rsidRPr="00053245" w:rsidRDefault="00D06612" w:rsidP="00D06612">
      <w:pPr>
        <w:pStyle w:val="QAhandbookheading1"/>
        <w:keepNext/>
        <w:rPr>
          <w:b w:val="0"/>
          <w:sz w:val="20"/>
          <w:szCs w:val="20"/>
        </w:rPr>
      </w:pPr>
    </w:p>
    <w:p w:rsidR="00D06612" w:rsidRPr="00053245" w:rsidRDefault="00D06612" w:rsidP="00D06612">
      <w:pPr>
        <w:pStyle w:val="QAhandbookheading1"/>
        <w:keepNext/>
        <w:rPr>
          <w:b w:val="0"/>
          <w:sz w:val="20"/>
          <w:szCs w:val="20"/>
        </w:rPr>
      </w:pPr>
      <w:r w:rsidRPr="00053245">
        <w:rPr>
          <w:i/>
          <w:sz w:val="20"/>
          <w:szCs w:val="20"/>
        </w:rPr>
        <w:t>Multilingual and multicultural environment</w:t>
      </w:r>
      <w:r w:rsidRPr="00053245">
        <w:rPr>
          <w:b w:val="0"/>
          <w:sz w:val="20"/>
          <w:szCs w:val="20"/>
        </w:rPr>
        <w:t xml:space="preserve">: The field school not only takes place abroad, but also in a setting of a large international collaborative project. The </w:t>
      </w:r>
      <w:r w:rsidR="000C43D9" w:rsidRPr="00053245">
        <w:rPr>
          <w:b w:val="0"/>
          <w:sz w:val="20"/>
          <w:szCs w:val="20"/>
        </w:rPr>
        <w:t xml:space="preserve">CIP Portus </w:t>
      </w:r>
      <w:r w:rsidRPr="00053245">
        <w:rPr>
          <w:b w:val="0"/>
          <w:sz w:val="20"/>
          <w:szCs w:val="20"/>
        </w:rPr>
        <w:t>students will thus be working side by side with staff and students from our partner institutions in Italy, France</w:t>
      </w:r>
      <w:r w:rsidR="000C43D9" w:rsidRPr="00053245">
        <w:rPr>
          <w:b w:val="0"/>
          <w:sz w:val="20"/>
          <w:szCs w:val="20"/>
        </w:rPr>
        <w:t xml:space="preserve">, </w:t>
      </w:r>
      <w:r w:rsidRPr="00053245">
        <w:rPr>
          <w:b w:val="0"/>
          <w:sz w:val="20"/>
          <w:szCs w:val="20"/>
        </w:rPr>
        <w:t>Spain and elsewhere.</w:t>
      </w:r>
    </w:p>
    <w:p w:rsidR="000C43D9" w:rsidRPr="00053245" w:rsidRDefault="000C43D9" w:rsidP="00D06612">
      <w:pPr>
        <w:pStyle w:val="QAhandbookheading1"/>
        <w:keepNext/>
        <w:rPr>
          <w:b w:val="0"/>
          <w:sz w:val="20"/>
          <w:szCs w:val="20"/>
        </w:rPr>
      </w:pPr>
    </w:p>
    <w:p w:rsidR="000C43D9" w:rsidRPr="00053245" w:rsidRDefault="00105896" w:rsidP="00D06612">
      <w:pPr>
        <w:pStyle w:val="QAhandbookheading1"/>
        <w:keepNext/>
        <w:rPr>
          <w:b w:val="0"/>
          <w:i/>
          <w:sz w:val="20"/>
          <w:szCs w:val="20"/>
        </w:rPr>
      </w:pPr>
      <w:r w:rsidRPr="00053245">
        <w:rPr>
          <w:i/>
          <w:sz w:val="20"/>
          <w:szCs w:val="20"/>
        </w:rPr>
        <w:t>Virtual fieldwork:</w:t>
      </w:r>
      <w:r w:rsidR="000C43D9" w:rsidRPr="00053245">
        <w:rPr>
          <w:b w:val="0"/>
          <w:i/>
          <w:sz w:val="20"/>
          <w:szCs w:val="20"/>
        </w:rPr>
        <w:t xml:space="preserve"> </w:t>
      </w:r>
      <w:r w:rsidRPr="00053245">
        <w:rPr>
          <w:b w:val="0"/>
          <w:sz w:val="20"/>
          <w:szCs w:val="20"/>
        </w:rPr>
        <w:t xml:space="preserve">The SCF Virtual Fieldwork project </w:t>
      </w:r>
      <w:r w:rsidR="000C43D9" w:rsidRPr="00053245">
        <w:rPr>
          <w:b w:val="0"/>
          <w:sz w:val="20"/>
          <w:szCs w:val="20"/>
        </w:rPr>
        <w:t>and a parallel project to produce a digital Portus site tour are</w:t>
      </w:r>
      <w:r w:rsidRPr="00053245">
        <w:rPr>
          <w:b w:val="0"/>
          <w:sz w:val="20"/>
          <w:szCs w:val="20"/>
        </w:rPr>
        <w:t xml:space="preserve"> producing innovative online learning resources</w:t>
      </w:r>
      <w:r w:rsidR="000C43D9" w:rsidRPr="00053245">
        <w:rPr>
          <w:b w:val="0"/>
          <w:sz w:val="20"/>
          <w:szCs w:val="20"/>
        </w:rPr>
        <w:t xml:space="preserve"> that will support this module. In particular these will provide students with an introduction to the site and the methods employed, and provide a focus for discussion in the forum.</w:t>
      </w:r>
    </w:p>
    <w:p w:rsidR="000C43D9" w:rsidRPr="00053245" w:rsidRDefault="000C43D9" w:rsidP="00D06612">
      <w:pPr>
        <w:pStyle w:val="QAhandbookheading1"/>
        <w:keepNext/>
        <w:rPr>
          <w:b w:val="0"/>
          <w:sz w:val="20"/>
          <w:szCs w:val="20"/>
        </w:rPr>
      </w:pPr>
    </w:p>
    <w:p w:rsidR="00FD0FCE" w:rsidRPr="00053245" w:rsidRDefault="00FD0FCE" w:rsidP="009E0EDE">
      <w:pPr>
        <w:pStyle w:val="QAhandbookheading1"/>
        <w:rPr>
          <w:b w:val="0"/>
          <w:sz w:val="20"/>
          <w:szCs w:val="20"/>
        </w:rPr>
      </w:pPr>
    </w:p>
    <w:p w:rsidR="00F11F8F" w:rsidRPr="00053245" w:rsidRDefault="00F11F8F" w:rsidP="009E0EDE">
      <w:pPr>
        <w:pStyle w:val="QAhandbookheading1"/>
        <w:rPr>
          <w:sz w:val="20"/>
          <w:szCs w:val="20"/>
          <w:highlight w:val="yellow"/>
        </w:rPr>
      </w:pPr>
    </w:p>
    <w:p w:rsidR="00956B40" w:rsidRPr="00053245" w:rsidRDefault="00956B40" w:rsidP="009E0EDE">
      <w:pPr>
        <w:pStyle w:val="QAhandbookheading1"/>
        <w:rPr>
          <w:sz w:val="28"/>
          <w:szCs w:val="28"/>
        </w:rPr>
      </w:pPr>
      <w:r w:rsidRPr="00053245">
        <w:rPr>
          <w:sz w:val="28"/>
          <w:szCs w:val="28"/>
        </w:rPr>
        <w:t>Summary of assessment methods</w:t>
      </w:r>
    </w:p>
    <w:p w:rsidR="00B34D1A" w:rsidRPr="00053245" w:rsidRDefault="00EF5E1F" w:rsidP="00CD794D">
      <w:r>
        <w:pict>
          <v:rect id="_x0000_i1029" style="width:0;height:1.5pt" o:hralign="center" o:hrstd="t" o:hr="t" fillcolor="#aca899" stroked="f"/>
        </w:pict>
      </w:r>
    </w:p>
    <w:p w:rsidR="000655E1" w:rsidRPr="00053245" w:rsidRDefault="00C74B24" w:rsidP="00CD794D">
      <w:pPr>
        <w:rPr>
          <w:b/>
          <w:bCs/>
          <w:highlight w:val="yellow"/>
          <w:u w:val="single"/>
        </w:rPr>
      </w:pPr>
      <w:r w:rsidRPr="00053245">
        <w:rPr>
          <w:b/>
          <w:bCs/>
          <w:sz w:val="32"/>
          <w:szCs w:val="32"/>
          <w:u w:val="single"/>
        </w:rPr>
        <w:t>*</w:t>
      </w:r>
      <w:r w:rsidR="00F11F8F" w:rsidRPr="00053245">
        <w:rPr>
          <w:b/>
          <w:bCs/>
          <w:u w:val="single"/>
        </w:rPr>
        <w:t xml:space="preserve">Description </w:t>
      </w:r>
    </w:p>
    <w:p w:rsidR="00F11F8F" w:rsidRPr="00053245" w:rsidRDefault="00F11F8F" w:rsidP="00CD794D">
      <w:pPr>
        <w:rPr>
          <w:highlight w:val="yellow"/>
        </w:rPr>
      </w:pPr>
    </w:p>
    <w:p w:rsidR="002D3E76" w:rsidRPr="00053245" w:rsidRDefault="00ED1E5A" w:rsidP="002D3E76">
      <w:pPr>
        <w:rPr>
          <w:sz w:val="20"/>
          <w:szCs w:val="20"/>
        </w:rPr>
      </w:pPr>
      <w:r w:rsidRPr="00053245">
        <w:rPr>
          <w:sz w:val="20"/>
          <w:szCs w:val="20"/>
        </w:rPr>
        <w:t>All participants are expected to submit their</w:t>
      </w:r>
      <w:r w:rsidR="00D33662" w:rsidRPr="00053245">
        <w:rPr>
          <w:sz w:val="20"/>
          <w:szCs w:val="20"/>
        </w:rPr>
        <w:t xml:space="preserve"> Fieldwork Report, based on their fieldwork journal entries and now containing relevant illustrations, site documentation and a concluding statement, for assessment in the first week of September. It is expected that the report will contain around 7,000 words. The Report will be marked on the grounds of completeness, accuracy, attention to detail, evaluation and reflection. </w:t>
      </w:r>
      <w:r w:rsidR="008477D4" w:rsidRPr="00053245">
        <w:rPr>
          <w:sz w:val="20"/>
          <w:szCs w:val="20"/>
        </w:rPr>
        <w:t>The journal will account for 90% of the total mark of the course.</w:t>
      </w:r>
    </w:p>
    <w:p w:rsidR="00F11F8F" w:rsidRPr="00053245" w:rsidRDefault="008477D4" w:rsidP="002D3E76">
      <w:pPr>
        <w:rPr>
          <w:sz w:val="20"/>
          <w:szCs w:val="20"/>
        </w:rPr>
      </w:pPr>
      <w:r w:rsidRPr="00053245">
        <w:rPr>
          <w:sz w:val="20"/>
          <w:szCs w:val="20"/>
        </w:rPr>
        <w:t xml:space="preserve">The remaining 10% will consists of the </w:t>
      </w:r>
      <w:r w:rsidR="001F5301" w:rsidRPr="00053245">
        <w:rPr>
          <w:sz w:val="20"/>
          <w:szCs w:val="20"/>
        </w:rPr>
        <w:t>formal</w:t>
      </w:r>
      <w:r w:rsidR="00F573C3" w:rsidRPr="00053245">
        <w:rPr>
          <w:sz w:val="20"/>
          <w:szCs w:val="20"/>
        </w:rPr>
        <w:t xml:space="preserve"> assessment of </w:t>
      </w:r>
      <w:r w:rsidR="00B030C0" w:rsidRPr="00053245">
        <w:rPr>
          <w:sz w:val="20"/>
          <w:szCs w:val="20"/>
        </w:rPr>
        <w:t xml:space="preserve">a </w:t>
      </w:r>
      <w:r w:rsidR="00F573C3" w:rsidRPr="00053245">
        <w:rPr>
          <w:sz w:val="20"/>
          <w:szCs w:val="20"/>
        </w:rPr>
        <w:t>student</w:t>
      </w:r>
      <w:r w:rsidR="00B030C0" w:rsidRPr="00053245">
        <w:rPr>
          <w:sz w:val="20"/>
          <w:szCs w:val="20"/>
        </w:rPr>
        <w:t>’</w:t>
      </w:r>
      <w:r w:rsidR="00F573C3" w:rsidRPr="00053245">
        <w:rPr>
          <w:sz w:val="20"/>
          <w:szCs w:val="20"/>
        </w:rPr>
        <w:t>s performance</w:t>
      </w:r>
      <w:r w:rsidRPr="00053245">
        <w:rPr>
          <w:sz w:val="20"/>
          <w:szCs w:val="20"/>
        </w:rPr>
        <w:t xml:space="preserve">, </w:t>
      </w:r>
      <w:r w:rsidR="00F573C3" w:rsidRPr="00053245">
        <w:rPr>
          <w:sz w:val="20"/>
          <w:szCs w:val="20"/>
        </w:rPr>
        <w:t xml:space="preserve">given in a form of a </w:t>
      </w:r>
      <w:r w:rsidR="00D33662" w:rsidRPr="00053245">
        <w:rPr>
          <w:sz w:val="20"/>
          <w:szCs w:val="20"/>
        </w:rPr>
        <w:t xml:space="preserve">Supervisors’ </w:t>
      </w:r>
      <w:r w:rsidR="00F573C3" w:rsidRPr="00053245">
        <w:rPr>
          <w:sz w:val="20"/>
          <w:szCs w:val="20"/>
        </w:rPr>
        <w:t xml:space="preserve">report, written by the </w:t>
      </w:r>
      <w:r w:rsidR="003D6A10" w:rsidRPr="00053245">
        <w:rPr>
          <w:sz w:val="20"/>
          <w:szCs w:val="20"/>
        </w:rPr>
        <w:t xml:space="preserve">field school </w:t>
      </w:r>
      <w:r w:rsidR="00D33662" w:rsidRPr="00053245">
        <w:rPr>
          <w:sz w:val="20"/>
          <w:szCs w:val="20"/>
        </w:rPr>
        <w:t>director</w:t>
      </w:r>
      <w:r w:rsidR="003D6A10" w:rsidRPr="00053245">
        <w:rPr>
          <w:sz w:val="20"/>
          <w:szCs w:val="20"/>
        </w:rPr>
        <w:t xml:space="preserve"> in consultation with other staff members who have </w:t>
      </w:r>
      <w:r w:rsidR="00946A8E" w:rsidRPr="00053245">
        <w:rPr>
          <w:sz w:val="20"/>
          <w:szCs w:val="20"/>
        </w:rPr>
        <w:t xml:space="preserve">supervised </w:t>
      </w:r>
      <w:r w:rsidR="002D3E76" w:rsidRPr="00053245">
        <w:rPr>
          <w:sz w:val="20"/>
          <w:szCs w:val="20"/>
        </w:rPr>
        <w:t xml:space="preserve">the </w:t>
      </w:r>
      <w:r w:rsidR="00946A8E" w:rsidRPr="00053245">
        <w:rPr>
          <w:sz w:val="20"/>
          <w:szCs w:val="20"/>
        </w:rPr>
        <w:t>student at the site.</w:t>
      </w:r>
      <w:r w:rsidR="003D6A10" w:rsidRPr="00053245">
        <w:rPr>
          <w:sz w:val="20"/>
          <w:szCs w:val="20"/>
        </w:rPr>
        <w:t xml:space="preserve"> </w:t>
      </w:r>
      <w:r w:rsidR="00946A8E" w:rsidRPr="00053245">
        <w:rPr>
          <w:sz w:val="20"/>
          <w:szCs w:val="20"/>
        </w:rPr>
        <w:t xml:space="preserve">The </w:t>
      </w:r>
      <w:r w:rsidR="00D33662" w:rsidRPr="00053245">
        <w:rPr>
          <w:sz w:val="20"/>
          <w:szCs w:val="20"/>
        </w:rPr>
        <w:t xml:space="preserve">supervisors’ </w:t>
      </w:r>
      <w:r w:rsidR="00946A8E" w:rsidRPr="00053245">
        <w:rPr>
          <w:sz w:val="20"/>
          <w:szCs w:val="20"/>
        </w:rPr>
        <w:t xml:space="preserve">report </w:t>
      </w:r>
      <w:r w:rsidR="003F5F92" w:rsidRPr="00053245">
        <w:rPr>
          <w:sz w:val="20"/>
          <w:szCs w:val="20"/>
        </w:rPr>
        <w:t>will</w:t>
      </w:r>
      <w:r w:rsidR="00946A8E" w:rsidRPr="00053245">
        <w:rPr>
          <w:sz w:val="20"/>
          <w:szCs w:val="20"/>
        </w:rPr>
        <w:t xml:space="preserve"> be based on continuous assessment of student</w:t>
      </w:r>
      <w:r w:rsidR="002D3E76" w:rsidRPr="00053245">
        <w:rPr>
          <w:sz w:val="20"/>
          <w:szCs w:val="20"/>
        </w:rPr>
        <w:t>’</w:t>
      </w:r>
      <w:r w:rsidR="00946A8E" w:rsidRPr="00053245">
        <w:rPr>
          <w:sz w:val="20"/>
          <w:szCs w:val="20"/>
        </w:rPr>
        <w:t xml:space="preserve">s </w:t>
      </w:r>
      <w:r w:rsidR="002D3E76" w:rsidRPr="00053245">
        <w:rPr>
          <w:sz w:val="20"/>
          <w:szCs w:val="20"/>
        </w:rPr>
        <w:t xml:space="preserve">performance, including </w:t>
      </w:r>
      <w:r w:rsidR="0062497A" w:rsidRPr="00053245">
        <w:rPr>
          <w:sz w:val="20"/>
          <w:szCs w:val="20"/>
        </w:rPr>
        <w:t>atte</w:t>
      </w:r>
      <w:r w:rsidR="00C20F31" w:rsidRPr="00053245">
        <w:rPr>
          <w:sz w:val="20"/>
          <w:szCs w:val="20"/>
        </w:rPr>
        <w:t>ndance at, and participation in</w:t>
      </w:r>
      <w:r w:rsidR="0062497A" w:rsidRPr="00053245">
        <w:rPr>
          <w:sz w:val="20"/>
          <w:szCs w:val="20"/>
        </w:rPr>
        <w:t xml:space="preserve"> all scheduled fieldwork, lectures and trips, </w:t>
      </w:r>
      <w:r w:rsidR="00946A8E" w:rsidRPr="00053245">
        <w:rPr>
          <w:sz w:val="20"/>
          <w:szCs w:val="20"/>
        </w:rPr>
        <w:t>willingness to work hard and in a timely fashion</w:t>
      </w:r>
      <w:r w:rsidR="002D3E76" w:rsidRPr="00053245">
        <w:rPr>
          <w:sz w:val="20"/>
          <w:szCs w:val="20"/>
        </w:rPr>
        <w:t>,</w:t>
      </w:r>
      <w:r w:rsidR="00946A8E" w:rsidRPr="00053245">
        <w:rPr>
          <w:sz w:val="20"/>
          <w:szCs w:val="20"/>
        </w:rPr>
        <w:t xml:space="preserve"> teamwork</w:t>
      </w:r>
      <w:r w:rsidR="002D3E76" w:rsidRPr="00053245">
        <w:rPr>
          <w:sz w:val="20"/>
          <w:szCs w:val="20"/>
        </w:rPr>
        <w:t>,</w:t>
      </w:r>
      <w:r w:rsidR="00946A8E" w:rsidRPr="00053245">
        <w:rPr>
          <w:sz w:val="20"/>
          <w:szCs w:val="20"/>
        </w:rPr>
        <w:t xml:space="preserve"> </w:t>
      </w:r>
      <w:r w:rsidR="002D3E76" w:rsidRPr="00053245">
        <w:rPr>
          <w:sz w:val="20"/>
          <w:szCs w:val="20"/>
        </w:rPr>
        <w:t xml:space="preserve">and </w:t>
      </w:r>
      <w:r w:rsidR="00946A8E" w:rsidRPr="00053245">
        <w:rPr>
          <w:sz w:val="20"/>
          <w:szCs w:val="20"/>
        </w:rPr>
        <w:t xml:space="preserve">contributions to </w:t>
      </w:r>
      <w:r w:rsidR="00C20F31" w:rsidRPr="00053245">
        <w:rPr>
          <w:sz w:val="20"/>
          <w:szCs w:val="20"/>
        </w:rPr>
        <w:t>the online forum</w:t>
      </w:r>
      <w:r w:rsidR="00ED7C61" w:rsidRPr="00053245">
        <w:rPr>
          <w:sz w:val="20"/>
          <w:szCs w:val="20"/>
        </w:rPr>
        <w:t xml:space="preserve"> before and after the fieldwork</w:t>
      </w:r>
      <w:r w:rsidR="002D3E76" w:rsidRPr="00053245">
        <w:rPr>
          <w:sz w:val="20"/>
          <w:szCs w:val="20"/>
        </w:rPr>
        <w:t>.</w:t>
      </w:r>
    </w:p>
    <w:p w:rsidR="009A5130" w:rsidRPr="00053245" w:rsidRDefault="009A5130" w:rsidP="00CD794D">
      <w:pPr>
        <w:rPr>
          <w:sz w:val="20"/>
          <w:szCs w:val="20"/>
        </w:rPr>
      </w:pPr>
    </w:p>
    <w:p w:rsidR="00F11F8F" w:rsidRPr="00053245" w:rsidRDefault="00C74B24" w:rsidP="00B34D1A">
      <w:pPr>
        <w:pStyle w:val="QAhandbookheading1"/>
        <w:rPr>
          <w:sz w:val="20"/>
          <w:szCs w:val="20"/>
          <w:u w:val="single"/>
        </w:rPr>
      </w:pPr>
      <w:r w:rsidRPr="00053245">
        <w:rPr>
          <w:szCs w:val="32"/>
          <w:u w:val="single"/>
        </w:rPr>
        <w:t>*</w:t>
      </w:r>
      <w:r w:rsidR="00F11F8F" w:rsidRPr="00053245">
        <w:rPr>
          <w:sz w:val="20"/>
          <w:szCs w:val="20"/>
          <w:u w:val="single"/>
        </w:rPr>
        <w:t>How is this module innovative in assessment?</w:t>
      </w:r>
    </w:p>
    <w:p w:rsidR="00F11F8F" w:rsidRPr="00053245" w:rsidRDefault="00F11F8F" w:rsidP="00B34D1A">
      <w:pPr>
        <w:pStyle w:val="QAhandbookheading1"/>
      </w:pPr>
    </w:p>
    <w:p w:rsidR="00956B40" w:rsidRPr="00053245" w:rsidRDefault="009A5130" w:rsidP="00DE7745">
      <w:pPr>
        <w:pStyle w:val="QAhandbookheading1"/>
        <w:rPr>
          <w:b w:val="0"/>
          <w:sz w:val="20"/>
          <w:szCs w:val="20"/>
        </w:rPr>
      </w:pPr>
      <w:r w:rsidRPr="00053245">
        <w:rPr>
          <w:b w:val="0"/>
          <w:sz w:val="20"/>
          <w:szCs w:val="20"/>
        </w:rPr>
        <w:t xml:space="preserve">The module contains a significant formative assessment component. </w:t>
      </w:r>
      <w:r w:rsidR="00DE7745" w:rsidRPr="00053245">
        <w:rPr>
          <w:b w:val="0"/>
          <w:sz w:val="20"/>
          <w:szCs w:val="20"/>
        </w:rPr>
        <w:t xml:space="preserve">Students’ response to instruction and progress will be monitored in weekly </w:t>
      </w:r>
      <w:r w:rsidR="0052660D" w:rsidRPr="00053245">
        <w:rPr>
          <w:b w:val="0"/>
          <w:sz w:val="20"/>
          <w:szCs w:val="20"/>
        </w:rPr>
        <w:t xml:space="preserve">meetings </w:t>
      </w:r>
      <w:r w:rsidR="00D17052" w:rsidRPr="00053245">
        <w:rPr>
          <w:b w:val="0"/>
          <w:sz w:val="20"/>
          <w:szCs w:val="20"/>
        </w:rPr>
        <w:t>with the field school supervisor</w:t>
      </w:r>
      <w:r w:rsidR="00DE7745" w:rsidRPr="00053245">
        <w:rPr>
          <w:b w:val="0"/>
          <w:sz w:val="20"/>
          <w:szCs w:val="20"/>
        </w:rPr>
        <w:t xml:space="preserve">. </w:t>
      </w:r>
      <w:r w:rsidR="00D17052" w:rsidRPr="00053245">
        <w:rPr>
          <w:b w:val="0"/>
          <w:sz w:val="20"/>
          <w:szCs w:val="20"/>
        </w:rPr>
        <w:t xml:space="preserve">Feedback on student’s progress </w:t>
      </w:r>
      <w:r w:rsidR="00DE7745" w:rsidRPr="00053245">
        <w:rPr>
          <w:b w:val="0"/>
          <w:sz w:val="20"/>
          <w:szCs w:val="20"/>
        </w:rPr>
        <w:t xml:space="preserve">will be delivered </w:t>
      </w:r>
      <w:r w:rsidR="00D17052" w:rsidRPr="00053245">
        <w:rPr>
          <w:b w:val="0"/>
          <w:sz w:val="20"/>
          <w:szCs w:val="20"/>
        </w:rPr>
        <w:t>on these occasions in person</w:t>
      </w:r>
      <w:r w:rsidR="00DE7745" w:rsidRPr="00053245">
        <w:rPr>
          <w:b w:val="0"/>
          <w:sz w:val="20"/>
          <w:szCs w:val="20"/>
        </w:rPr>
        <w:t>,</w:t>
      </w:r>
      <w:r w:rsidR="00D17052" w:rsidRPr="00053245">
        <w:rPr>
          <w:b w:val="0"/>
          <w:sz w:val="20"/>
          <w:szCs w:val="20"/>
        </w:rPr>
        <w:t xml:space="preserve"> and </w:t>
      </w:r>
      <w:r w:rsidR="00DE7745" w:rsidRPr="00053245">
        <w:rPr>
          <w:b w:val="0"/>
          <w:sz w:val="20"/>
          <w:szCs w:val="20"/>
        </w:rPr>
        <w:t>student</w:t>
      </w:r>
      <w:r w:rsidR="00D17052" w:rsidRPr="00053245">
        <w:rPr>
          <w:b w:val="0"/>
          <w:sz w:val="20"/>
          <w:szCs w:val="20"/>
        </w:rPr>
        <w:t>s</w:t>
      </w:r>
      <w:r w:rsidR="00DE7745" w:rsidRPr="00053245">
        <w:rPr>
          <w:b w:val="0"/>
          <w:sz w:val="20"/>
          <w:szCs w:val="20"/>
        </w:rPr>
        <w:t xml:space="preserve"> will be encouraged to reflect on their own learning process. The goal of these meetings is to discuss student’s progress towards achieving the intended learning outcomes and identify areas for improvement, as well as to develop student awareness of the nature of assessment criteria. The goal of th</w:t>
      </w:r>
      <w:r w:rsidR="00D17052" w:rsidRPr="00053245">
        <w:rPr>
          <w:b w:val="0"/>
          <w:sz w:val="20"/>
          <w:szCs w:val="20"/>
        </w:rPr>
        <w:t xml:space="preserve">is </w:t>
      </w:r>
      <w:r w:rsidR="00DE7745" w:rsidRPr="00053245">
        <w:rPr>
          <w:b w:val="0"/>
          <w:sz w:val="20"/>
          <w:szCs w:val="20"/>
        </w:rPr>
        <w:t>formative assessment is for the feedback to be delivered in good time and in a way that it can feed into students</w:t>
      </w:r>
      <w:r w:rsidR="00CB67CD" w:rsidRPr="00053245">
        <w:rPr>
          <w:b w:val="0"/>
          <w:sz w:val="20"/>
          <w:szCs w:val="20"/>
        </w:rPr>
        <w:t>’</w:t>
      </w:r>
      <w:r w:rsidR="00DE7745" w:rsidRPr="00053245">
        <w:rPr>
          <w:b w:val="0"/>
          <w:sz w:val="20"/>
          <w:szCs w:val="20"/>
        </w:rPr>
        <w:t xml:space="preserve"> performance in part of coursework that </w:t>
      </w:r>
      <w:r w:rsidR="00D17052" w:rsidRPr="00053245">
        <w:rPr>
          <w:b w:val="0"/>
          <w:sz w:val="20"/>
          <w:szCs w:val="20"/>
        </w:rPr>
        <w:t>is</w:t>
      </w:r>
      <w:r w:rsidR="00DE7745" w:rsidRPr="00053245">
        <w:rPr>
          <w:b w:val="0"/>
          <w:sz w:val="20"/>
          <w:szCs w:val="20"/>
        </w:rPr>
        <w:t xml:space="preserve"> submitted for formal assessment</w:t>
      </w:r>
      <w:r w:rsidR="00D17052" w:rsidRPr="00053245">
        <w:rPr>
          <w:b w:val="0"/>
          <w:sz w:val="20"/>
          <w:szCs w:val="20"/>
        </w:rPr>
        <w:t xml:space="preserve"> (production of the field</w:t>
      </w:r>
      <w:r w:rsidR="00D33662" w:rsidRPr="00053245">
        <w:rPr>
          <w:b w:val="0"/>
          <w:sz w:val="20"/>
          <w:szCs w:val="20"/>
        </w:rPr>
        <w:t>work report</w:t>
      </w:r>
      <w:r w:rsidR="00D17052" w:rsidRPr="00053245">
        <w:rPr>
          <w:b w:val="0"/>
          <w:sz w:val="20"/>
          <w:szCs w:val="20"/>
        </w:rPr>
        <w:t>)</w:t>
      </w:r>
      <w:r w:rsidR="00DE7745" w:rsidRPr="00053245">
        <w:rPr>
          <w:b w:val="0"/>
          <w:sz w:val="20"/>
          <w:szCs w:val="20"/>
        </w:rPr>
        <w:t>.</w:t>
      </w:r>
      <w:r w:rsidR="00D17052" w:rsidRPr="00053245">
        <w:rPr>
          <w:b w:val="0"/>
          <w:sz w:val="20"/>
          <w:szCs w:val="20"/>
        </w:rPr>
        <w:t xml:space="preserve"> As the </w:t>
      </w:r>
      <w:r w:rsidR="00CA2911" w:rsidRPr="00053245">
        <w:rPr>
          <w:b w:val="0"/>
          <w:sz w:val="20"/>
          <w:szCs w:val="20"/>
        </w:rPr>
        <w:t xml:space="preserve">final assessment </w:t>
      </w:r>
      <w:r w:rsidR="00D17052" w:rsidRPr="00053245">
        <w:rPr>
          <w:b w:val="0"/>
          <w:sz w:val="20"/>
          <w:szCs w:val="20"/>
        </w:rPr>
        <w:t xml:space="preserve">consists of a coursework component (the </w:t>
      </w:r>
      <w:r w:rsidR="00D33662" w:rsidRPr="00053245">
        <w:rPr>
          <w:b w:val="0"/>
          <w:sz w:val="20"/>
          <w:szCs w:val="20"/>
        </w:rPr>
        <w:t>report</w:t>
      </w:r>
      <w:r w:rsidR="00D17052" w:rsidRPr="00053245">
        <w:rPr>
          <w:b w:val="0"/>
          <w:sz w:val="20"/>
          <w:szCs w:val="20"/>
        </w:rPr>
        <w:t xml:space="preserve">) and a continuous </w:t>
      </w:r>
      <w:r w:rsidR="00CB67CD" w:rsidRPr="00053245">
        <w:rPr>
          <w:b w:val="0"/>
          <w:sz w:val="20"/>
          <w:szCs w:val="20"/>
        </w:rPr>
        <w:t xml:space="preserve">evaluation of students pre-, on-site and post- field school work, </w:t>
      </w:r>
      <w:r w:rsidR="00D17052" w:rsidRPr="00053245">
        <w:rPr>
          <w:b w:val="0"/>
          <w:sz w:val="20"/>
          <w:szCs w:val="20"/>
        </w:rPr>
        <w:t xml:space="preserve">such assessment will therefore </w:t>
      </w:r>
      <w:r w:rsidR="00CA2911" w:rsidRPr="00053245">
        <w:rPr>
          <w:b w:val="0"/>
          <w:sz w:val="20"/>
          <w:szCs w:val="20"/>
        </w:rPr>
        <w:t>reflect students overall performance, taking into an account their improvement and effort, rather than a single exam performance.</w:t>
      </w:r>
      <w:r w:rsidR="00F015DB" w:rsidRPr="00053245">
        <w:rPr>
          <w:b w:val="0"/>
          <w:sz w:val="20"/>
          <w:szCs w:val="20"/>
        </w:rPr>
        <w:br w:type="page"/>
      </w:r>
      <w:r w:rsidR="00956B40" w:rsidRPr="00053245">
        <w:rPr>
          <w:sz w:val="28"/>
          <w:szCs w:val="28"/>
        </w:rPr>
        <w:lastRenderedPageBreak/>
        <w:t>Resources</w:t>
      </w:r>
    </w:p>
    <w:p w:rsidR="00B34D1A" w:rsidRPr="00053245" w:rsidRDefault="00EF5E1F" w:rsidP="00CD794D">
      <w:r>
        <w:pict>
          <v:rect id="_x0000_i1030" style="width:0;height:1.5pt" o:hralign="center" o:hrstd="t" o:hr="t" fillcolor="#aca899" stroked="f"/>
        </w:pict>
      </w:r>
    </w:p>
    <w:p w:rsidR="007C7965" w:rsidRPr="00053245" w:rsidRDefault="007C7965" w:rsidP="007C7965">
      <w:pPr>
        <w:rPr>
          <w:sz w:val="22"/>
          <w:szCs w:val="22"/>
        </w:rPr>
      </w:pPr>
      <w:r w:rsidRPr="00053245">
        <w:rPr>
          <w:sz w:val="22"/>
          <w:szCs w:val="22"/>
        </w:rPr>
        <w:t>Resources are in place</w:t>
      </w:r>
    </w:p>
    <w:p w:rsidR="007C7965" w:rsidRPr="00053245" w:rsidRDefault="007C7965" w:rsidP="007C7965">
      <w:pPr>
        <w:rPr>
          <w:sz w:val="22"/>
          <w:szCs w:val="22"/>
        </w:rPr>
      </w:pPr>
    </w:p>
    <w:p w:rsidR="00967804" w:rsidRPr="00053245" w:rsidRDefault="00967804" w:rsidP="00967804">
      <w:pPr>
        <w:pStyle w:val="QAhandbookheading1"/>
        <w:rPr>
          <w:sz w:val="28"/>
          <w:szCs w:val="28"/>
        </w:rPr>
      </w:pPr>
      <w:r w:rsidRPr="00053245">
        <w:rPr>
          <w:sz w:val="28"/>
          <w:szCs w:val="28"/>
        </w:rPr>
        <w:t>Graduate Attributes</w:t>
      </w:r>
    </w:p>
    <w:p w:rsidR="00967804" w:rsidRPr="00053245" w:rsidRDefault="00EF5E1F" w:rsidP="00967804">
      <w:r>
        <w:pict>
          <v:rect id="_x0000_i1031" style="width:0;height:1.5pt" o:hralign="center" o:hrstd="t" o:hr="t" fillcolor="#aca899" stroked="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0"/>
        <w:gridCol w:w="3001"/>
        <w:gridCol w:w="3001"/>
      </w:tblGrid>
      <w:tr w:rsidR="00053245"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rPr>
                <w:b/>
                <w:bCs/>
              </w:rPr>
            </w:pPr>
            <w:r w:rsidRPr="00053245">
              <w:rPr>
                <w:b/>
                <w:bCs/>
              </w:rPr>
              <w:t>Attributes</w:t>
            </w:r>
          </w:p>
        </w:tc>
        <w:tc>
          <w:tcPr>
            <w:tcW w:w="3001" w:type="dxa"/>
            <w:shd w:val="clear" w:color="auto" w:fill="auto"/>
          </w:tcPr>
          <w:p w:rsidR="009F7D94" w:rsidRPr="00053245" w:rsidRDefault="00C74B24" w:rsidP="00586EBB">
            <w:pPr>
              <w:pStyle w:val="tabletext"/>
              <w:widowControl w:val="0"/>
              <w:autoSpaceDE w:val="0"/>
              <w:autoSpaceDN w:val="0"/>
              <w:adjustRightInd w:val="0"/>
              <w:rPr>
                <w:b/>
                <w:bCs/>
              </w:rPr>
            </w:pPr>
            <w:r w:rsidRPr="00053245">
              <w:rPr>
                <w:b/>
                <w:bCs/>
                <w:sz w:val="32"/>
                <w:szCs w:val="32"/>
              </w:rPr>
              <w:t>*</w:t>
            </w:r>
            <w:r w:rsidR="009F7D94" w:rsidRPr="00053245">
              <w:rPr>
                <w:b/>
                <w:bCs/>
              </w:rPr>
              <w:t>How students obtain them</w:t>
            </w:r>
          </w:p>
        </w:tc>
        <w:tc>
          <w:tcPr>
            <w:tcW w:w="3001" w:type="dxa"/>
            <w:shd w:val="clear" w:color="auto" w:fill="auto"/>
          </w:tcPr>
          <w:p w:rsidR="009F7D94" w:rsidRPr="00053245" w:rsidRDefault="00C74B24" w:rsidP="00586EBB">
            <w:pPr>
              <w:pStyle w:val="tabletext"/>
              <w:widowControl w:val="0"/>
              <w:autoSpaceDE w:val="0"/>
              <w:autoSpaceDN w:val="0"/>
              <w:adjustRightInd w:val="0"/>
              <w:rPr>
                <w:b/>
                <w:bCs/>
              </w:rPr>
            </w:pPr>
            <w:r w:rsidRPr="00053245">
              <w:rPr>
                <w:b/>
                <w:bCs/>
                <w:sz w:val="32"/>
                <w:szCs w:val="32"/>
              </w:rPr>
              <w:t>*</w:t>
            </w:r>
            <w:r w:rsidR="009F7D94" w:rsidRPr="00053245">
              <w:rPr>
                <w:b/>
                <w:bCs/>
              </w:rPr>
              <w:t>How students reflect on them</w:t>
            </w:r>
          </w:p>
        </w:tc>
      </w:tr>
      <w:tr w:rsidR="00053245"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pPr>
            <w:r w:rsidRPr="00053245">
              <w:t>Reflective Learner</w:t>
            </w:r>
          </w:p>
        </w:tc>
        <w:tc>
          <w:tcPr>
            <w:tcW w:w="3001" w:type="dxa"/>
            <w:shd w:val="clear" w:color="auto" w:fill="auto"/>
          </w:tcPr>
          <w:p w:rsidR="009F7D94" w:rsidRPr="00053245" w:rsidRDefault="00454F14" w:rsidP="00586EBB">
            <w:pPr>
              <w:pStyle w:val="tabletext"/>
              <w:widowControl w:val="0"/>
              <w:autoSpaceDE w:val="0"/>
              <w:autoSpaceDN w:val="0"/>
              <w:adjustRightInd w:val="0"/>
            </w:pPr>
            <w:r w:rsidRPr="00053245">
              <w:t>Through self-assessment at weekly meetings and keeping a field journal</w:t>
            </w:r>
          </w:p>
        </w:tc>
        <w:tc>
          <w:tcPr>
            <w:tcW w:w="3001" w:type="dxa"/>
            <w:shd w:val="clear" w:color="auto" w:fill="auto"/>
          </w:tcPr>
          <w:p w:rsidR="009F7D94" w:rsidRPr="00053245" w:rsidRDefault="00454F14" w:rsidP="00586EBB">
            <w:pPr>
              <w:pStyle w:val="tabletext"/>
              <w:widowControl w:val="0"/>
              <w:autoSpaceDE w:val="0"/>
              <w:autoSpaceDN w:val="0"/>
              <w:adjustRightInd w:val="0"/>
            </w:pPr>
            <w:r w:rsidRPr="00053245">
              <w:t>Meetings, journal, online forum</w:t>
            </w:r>
          </w:p>
        </w:tc>
      </w:tr>
      <w:tr w:rsidR="00053245"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pPr>
            <w:r w:rsidRPr="00053245">
              <w:t>Academic Learner</w:t>
            </w:r>
          </w:p>
        </w:tc>
        <w:tc>
          <w:tcPr>
            <w:tcW w:w="3001" w:type="dxa"/>
            <w:shd w:val="clear" w:color="auto" w:fill="auto"/>
          </w:tcPr>
          <w:p w:rsidR="009F7D94" w:rsidRPr="00053245" w:rsidRDefault="00454F14" w:rsidP="00586EBB">
            <w:pPr>
              <w:pStyle w:val="tabletext"/>
              <w:widowControl w:val="0"/>
              <w:autoSpaceDE w:val="0"/>
              <w:autoSpaceDN w:val="0"/>
              <w:adjustRightInd w:val="0"/>
            </w:pPr>
            <w:r w:rsidRPr="00053245">
              <w:t>On-site training, lectures, study visits</w:t>
            </w:r>
          </w:p>
        </w:tc>
        <w:tc>
          <w:tcPr>
            <w:tcW w:w="3001" w:type="dxa"/>
            <w:shd w:val="clear" w:color="auto" w:fill="auto"/>
          </w:tcPr>
          <w:p w:rsidR="009F7D94" w:rsidRPr="00053245" w:rsidRDefault="00454F14" w:rsidP="00586EBB">
            <w:pPr>
              <w:pStyle w:val="tabletext"/>
              <w:widowControl w:val="0"/>
              <w:autoSpaceDE w:val="0"/>
              <w:autoSpaceDN w:val="0"/>
              <w:adjustRightInd w:val="0"/>
            </w:pPr>
            <w:r w:rsidRPr="00053245">
              <w:t>Journal, online forum</w:t>
            </w:r>
            <w:r w:rsidR="00D33662" w:rsidRPr="00053245">
              <w:t>, report</w:t>
            </w:r>
          </w:p>
        </w:tc>
      </w:tr>
      <w:tr w:rsidR="00053245"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pPr>
            <w:r w:rsidRPr="00053245">
              <w:t>Communication Skills</w:t>
            </w:r>
          </w:p>
        </w:tc>
        <w:tc>
          <w:tcPr>
            <w:tcW w:w="3001" w:type="dxa"/>
            <w:shd w:val="clear" w:color="auto" w:fill="auto"/>
          </w:tcPr>
          <w:p w:rsidR="009F7D94" w:rsidRPr="00053245" w:rsidRDefault="00454F14" w:rsidP="00586EBB">
            <w:pPr>
              <w:pStyle w:val="tabletext"/>
              <w:widowControl w:val="0"/>
              <w:autoSpaceDE w:val="0"/>
              <w:autoSpaceDN w:val="0"/>
              <w:adjustRightInd w:val="0"/>
            </w:pPr>
            <w:r w:rsidRPr="00053245">
              <w:t>Oral through weekly meetings, written through keeping a journal and participating on the online forum</w:t>
            </w:r>
          </w:p>
        </w:tc>
        <w:tc>
          <w:tcPr>
            <w:tcW w:w="3001" w:type="dxa"/>
            <w:shd w:val="clear" w:color="auto" w:fill="auto"/>
          </w:tcPr>
          <w:p w:rsidR="009F7D94" w:rsidRPr="00053245" w:rsidRDefault="00454F14" w:rsidP="00586EBB">
            <w:pPr>
              <w:pStyle w:val="tabletext"/>
              <w:widowControl w:val="0"/>
              <w:autoSpaceDE w:val="0"/>
              <w:autoSpaceDN w:val="0"/>
              <w:adjustRightInd w:val="0"/>
            </w:pPr>
            <w:r w:rsidRPr="00053245">
              <w:t>Meetings, online forum</w:t>
            </w:r>
          </w:p>
        </w:tc>
      </w:tr>
      <w:tr w:rsidR="00053245"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pPr>
            <w:r w:rsidRPr="00053245">
              <w:t>Ethical Leader</w:t>
            </w:r>
          </w:p>
        </w:tc>
        <w:tc>
          <w:tcPr>
            <w:tcW w:w="3001" w:type="dxa"/>
            <w:shd w:val="clear" w:color="auto" w:fill="auto"/>
          </w:tcPr>
          <w:p w:rsidR="009F7D94" w:rsidRPr="00053245" w:rsidRDefault="00457711" w:rsidP="00457711">
            <w:pPr>
              <w:pStyle w:val="tabletext"/>
              <w:widowControl w:val="0"/>
              <w:autoSpaceDE w:val="0"/>
              <w:autoSpaceDN w:val="0"/>
              <w:adjustRightInd w:val="0"/>
            </w:pPr>
            <w:r w:rsidRPr="00053245">
              <w:t xml:space="preserve">Discussion of project strategies, destructivity of an excavation vs. non-invasive investigative methods, ethics of museum and site display, ethics of excavating and studying human remains </w:t>
            </w:r>
          </w:p>
        </w:tc>
        <w:tc>
          <w:tcPr>
            <w:tcW w:w="3001" w:type="dxa"/>
            <w:shd w:val="clear" w:color="auto" w:fill="auto"/>
          </w:tcPr>
          <w:p w:rsidR="009F7D94" w:rsidRPr="00053245" w:rsidRDefault="00457711" w:rsidP="00586EBB">
            <w:pPr>
              <w:pStyle w:val="tabletext"/>
              <w:widowControl w:val="0"/>
              <w:autoSpaceDE w:val="0"/>
              <w:autoSpaceDN w:val="0"/>
              <w:adjustRightInd w:val="0"/>
            </w:pPr>
            <w:r w:rsidRPr="00053245">
              <w:t>Journal, online forum</w:t>
            </w:r>
            <w:r w:rsidR="00D33662" w:rsidRPr="00053245">
              <w:t>, report</w:t>
            </w:r>
          </w:p>
        </w:tc>
      </w:tr>
      <w:tr w:rsidR="00053245"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pPr>
            <w:r w:rsidRPr="00053245">
              <w:t>Global Citizen</w:t>
            </w:r>
          </w:p>
        </w:tc>
        <w:tc>
          <w:tcPr>
            <w:tcW w:w="3001" w:type="dxa"/>
            <w:shd w:val="clear" w:color="auto" w:fill="auto"/>
          </w:tcPr>
          <w:p w:rsidR="009F7D94" w:rsidRPr="00053245" w:rsidRDefault="000232B2" w:rsidP="000232B2">
            <w:pPr>
              <w:pStyle w:val="tabletext"/>
              <w:widowControl w:val="0"/>
              <w:autoSpaceDE w:val="0"/>
              <w:autoSpaceDN w:val="0"/>
              <w:adjustRightInd w:val="0"/>
            </w:pPr>
            <w:r w:rsidRPr="00053245">
              <w:t xml:space="preserve">Fieldwork abroad, working as a part of an international team </w:t>
            </w:r>
          </w:p>
        </w:tc>
        <w:tc>
          <w:tcPr>
            <w:tcW w:w="3001" w:type="dxa"/>
            <w:shd w:val="clear" w:color="auto" w:fill="auto"/>
          </w:tcPr>
          <w:p w:rsidR="009F7D94" w:rsidRPr="00053245" w:rsidRDefault="00211F1A" w:rsidP="00586EBB">
            <w:pPr>
              <w:pStyle w:val="tabletext"/>
              <w:widowControl w:val="0"/>
              <w:autoSpaceDE w:val="0"/>
              <w:autoSpaceDN w:val="0"/>
              <w:adjustRightInd w:val="0"/>
            </w:pPr>
            <w:r w:rsidRPr="00053245">
              <w:t>Journal, online forum</w:t>
            </w:r>
          </w:p>
        </w:tc>
      </w:tr>
      <w:tr w:rsidR="009F7D94" w:rsidRPr="00053245" w:rsidTr="00586EBB">
        <w:tc>
          <w:tcPr>
            <w:tcW w:w="3000" w:type="dxa"/>
            <w:shd w:val="clear" w:color="auto" w:fill="auto"/>
          </w:tcPr>
          <w:p w:rsidR="009F7D94" w:rsidRPr="00053245" w:rsidRDefault="009F7D94" w:rsidP="00586EBB">
            <w:pPr>
              <w:pStyle w:val="tabletext"/>
              <w:widowControl w:val="0"/>
              <w:autoSpaceDE w:val="0"/>
              <w:autoSpaceDN w:val="0"/>
              <w:adjustRightInd w:val="0"/>
            </w:pPr>
            <w:r w:rsidRPr="00053245">
              <w:t xml:space="preserve">Research &amp; Enquiry </w:t>
            </w:r>
          </w:p>
        </w:tc>
        <w:tc>
          <w:tcPr>
            <w:tcW w:w="3001" w:type="dxa"/>
            <w:shd w:val="clear" w:color="auto" w:fill="auto"/>
          </w:tcPr>
          <w:p w:rsidR="009F7D94" w:rsidRPr="00053245" w:rsidRDefault="00211F1A" w:rsidP="00D33662">
            <w:pPr>
              <w:pStyle w:val="tabletext"/>
              <w:widowControl w:val="0"/>
              <w:autoSpaceDE w:val="0"/>
              <w:autoSpaceDN w:val="0"/>
              <w:adjustRightInd w:val="0"/>
            </w:pPr>
            <w:r w:rsidRPr="00053245">
              <w:t xml:space="preserve">Preparation reading, daily work at the site, analysis required for the production of documentation and the </w:t>
            </w:r>
            <w:r w:rsidR="00D33662" w:rsidRPr="00053245">
              <w:t>report</w:t>
            </w:r>
          </w:p>
        </w:tc>
        <w:tc>
          <w:tcPr>
            <w:tcW w:w="3001" w:type="dxa"/>
            <w:shd w:val="clear" w:color="auto" w:fill="auto"/>
          </w:tcPr>
          <w:p w:rsidR="009F7D94" w:rsidRPr="00053245" w:rsidRDefault="00D33662" w:rsidP="00D33662">
            <w:pPr>
              <w:pStyle w:val="tabletext"/>
              <w:widowControl w:val="0"/>
              <w:autoSpaceDE w:val="0"/>
              <w:autoSpaceDN w:val="0"/>
              <w:adjustRightInd w:val="0"/>
            </w:pPr>
            <w:r w:rsidRPr="00053245">
              <w:t>J</w:t>
            </w:r>
            <w:r w:rsidR="00211F1A" w:rsidRPr="00053245">
              <w:t>ournal, online forum</w:t>
            </w:r>
            <w:r w:rsidRPr="00053245">
              <w:t>, report</w:t>
            </w:r>
          </w:p>
        </w:tc>
      </w:tr>
    </w:tbl>
    <w:p w:rsidR="009F7D94" w:rsidRPr="00053245" w:rsidRDefault="009F7D94" w:rsidP="00EF3E02">
      <w:pPr>
        <w:pStyle w:val="tabletext"/>
      </w:pPr>
    </w:p>
    <w:p w:rsidR="005A15F4" w:rsidRPr="00053245" w:rsidRDefault="005A15F4" w:rsidP="00EF3E02">
      <w:pPr>
        <w:pStyle w:val="tabl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9"/>
        <w:gridCol w:w="4423"/>
      </w:tblGrid>
      <w:tr w:rsidR="00053245" w:rsidRPr="00053245" w:rsidTr="00660041">
        <w:tc>
          <w:tcPr>
            <w:tcW w:w="4579" w:type="dxa"/>
            <w:shd w:val="clear" w:color="auto" w:fill="auto"/>
          </w:tcPr>
          <w:p w:rsidR="005A15F4" w:rsidRPr="00053245" w:rsidRDefault="005A15F4" w:rsidP="00C65973">
            <w:pPr>
              <w:widowControl w:val="0"/>
              <w:autoSpaceDE w:val="0"/>
              <w:autoSpaceDN w:val="0"/>
              <w:adjustRightInd w:val="0"/>
              <w:rPr>
                <w:b/>
                <w:bCs/>
                <w:sz w:val="20"/>
                <w:szCs w:val="20"/>
              </w:rPr>
            </w:pPr>
            <w:r w:rsidRPr="00053245">
              <w:rPr>
                <w:b/>
                <w:bCs/>
                <w:sz w:val="20"/>
                <w:szCs w:val="20"/>
              </w:rPr>
              <w:t>Name (completed by)</w:t>
            </w:r>
          </w:p>
          <w:p w:rsidR="005A15F4" w:rsidRPr="00053245" w:rsidRDefault="005A15F4" w:rsidP="00C65973">
            <w:pPr>
              <w:widowControl w:val="0"/>
              <w:autoSpaceDE w:val="0"/>
              <w:autoSpaceDN w:val="0"/>
              <w:adjustRightInd w:val="0"/>
              <w:rPr>
                <w:b/>
                <w:bCs/>
                <w:sz w:val="20"/>
                <w:szCs w:val="20"/>
              </w:rPr>
            </w:pPr>
          </w:p>
        </w:tc>
        <w:tc>
          <w:tcPr>
            <w:tcW w:w="4423" w:type="dxa"/>
            <w:shd w:val="clear" w:color="auto" w:fill="auto"/>
          </w:tcPr>
          <w:p w:rsidR="005A15F4" w:rsidRPr="00053245" w:rsidRDefault="005A15F4" w:rsidP="00C65973">
            <w:pPr>
              <w:widowControl w:val="0"/>
              <w:autoSpaceDE w:val="0"/>
              <w:autoSpaceDN w:val="0"/>
              <w:adjustRightInd w:val="0"/>
              <w:rPr>
                <w:b/>
                <w:bCs/>
                <w:sz w:val="20"/>
                <w:szCs w:val="20"/>
              </w:rPr>
            </w:pPr>
          </w:p>
        </w:tc>
      </w:tr>
      <w:tr w:rsidR="005A4883" w:rsidRPr="00053245" w:rsidTr="00660041">
        <w:tc>
          <w:tcPr>
            <w:tcW w:w="4579" w:type="dxa"/>
            <w:shd w:val="clear" w:color="auto" w:fill="auto"/>
          </w:tcPr>
          <w:p w:rsidR="005A4883" w:rsidRPr="00053245" w:rsidRDefault="005A4883" w:rsidP="00C65973">
            <w:pPr>
              <w:widowControl w:val="0"/>
              <w:autoSpaceDE w:val="0"/>
              <w:autoSpaceDN w:val="0"/>
              <w:adjustRightInd w:val="0"/>
              <w:rPr>
                <w:b/>
                <w:bCs/>
                <w:sz w:val="20"/>
                <w:szCs w:val="20"/>
              </w:rPr>
            </w:pPr>
            <w:r w:rsidRPr="00053245">
              <w:rPr>
                <w:b/>
                <w:bCs/>
                <w:sz w:val="20"/>
                <w:szCs w:val="20"/>
              </w:rPr>
              <w:t>Date</w:t>
            </w:r>
          </w:p>
        </w:tc>
        <w:tc>
          <w:tcPr>
            <w:tcW w:w="4423" w:type="dxa"/>
            <w:shd w:val="clear" w:color="auto" w:fill="auto"/>
          </w:tcPr>
          <w:p w:rsidR="005A4883" w:rsidRPr="00053245" w:rsidRDefault="005A4883" w:rsidP="00C65973">
            <w:pPr>
              <w:widowControl w:val="0"/>
              <w:autoSpaceDE w:val="0"/>
              <w:autoSpaceDN w:val="0"/>
              <w:adjustRightInd w:val="0"/>
              <w:rPr>
                <w:b/>
                <w:bCs/>
                <w:sz w:val="20"/>
                <w:szCs w:val="20"/>
              </w:rPr>
            </w:pPr>
          </w:p>
        </w:tc>
      </w:tr>
    </w:tbl>
    <w:p w:rsidR="005A15F4" w:rsidRPr="00053245" w:rsidRDefault="005A15F4" w:rsidP="00F4469D">
      <w:pPr>
        <w:pStyle w:val="tabletext"/>
        <w:rPr>
          <w:sz w:val="32"/>
          <w:szCs w:val="32"/>
        </w:rPr>
      </w:pPr>
    </w:p>
    <w:sectPr w:rsidR="005A15F4" w:rsidRPr="00053245" w:rsidSect="00C74B24">
      <w:headerReference w:type="default" r:id="rId9"/>
      <w:footnotePr>
        <w:pos w:val="beneathText"/>
      </w:footnotePr>
      <w:pgSz w:w="11905" w:h="16837"/>
      <w:pgMar w:top="1134" w:right="1418" w:bottom="85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35" w:rsidRDefault="002E2B35">
      <w:r>
        <w:separator/>
      </w:r>
    </w:p>
  </w:endnote>
  <w:endnote w:type="continuationSeparator" w:id="0">
    <w:p w:rsidR="002E2B35" w:rsidRDefault="002E2B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35" w:rsidRDefault="002E2B35">
      <w:r>
        <w:separator/>
      </w:r>
    </w:p>
  </w:footnote>
  <w:footnote w:type="continuationSeparator" w:id="0">
    <w:p w:rsidR="002E2B35" w:rsidRDefault="002E2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6B" w:rsidRDefault="00C97F6B">
    <w:pPr>
      <w:pStyle w:val="Header"/>
      <w:tabs>
        <w:tab w:val="clear" w:pos="8306"/>
        <w:tab w:val="right" w:pos="90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34CF30"/>
    <w:lvl w:ilvl="0">
      <w:start w:val="1"/>
      <w:numFmt w:val="decimal"/>
      <w:lvlText w:val="%1."/>
      <w:lvlJc w:val="left"/>
      <w:pPr>
        <w:tabs>
          <w:tab w:val="num" w:pos="1492"/>
        </w:tabs>
        <w:ind w:left="1492" w:hanging="360"/>
      </w:pPr>
    </w:lvl>
  </w:abstractNum>
  <w:abstractNum w:abstractNumId="1">
    <w:nsid w:val="FFFFFF7D"/>
    <w:multiLevelType w:val="singleLevel"/>
    <w:tmpl w:val="0218944C"/>
    <w:lvl w:ilvl="0">
      <w:start w:val="1"/>
      <w:numFmt w:val="decimal"/>
      <w:lvlText w:val="%1."/>
      <w:lvlJc w:val="left"/>
      <w:pPr>
        <w:tabs>
          <w:tab w:val="num" w:pos="1209"/>
        </w:tabs>
        <w:ind w:left="1209" w:hanging="360"/>
      </w:pPr>
    </w:lvl>
  </w:abstractNum>
  <w:abstractNum w:abstractNumId="2">
    <w:nsid w:val="FFFFFF7E"/>
    <w:multiLevelType w:val="singleLevel"/>
    <w:tmpl w:val="DB9804A2"/>
    <w:lvl w:ilvl="0">
      <w:start w:val="1"/>
      <w:numFmt w:val="decimal"/>
      <w:lvlText w:val="%1."/>
      <w:lvlJc w:val="left"/>
      <w:pPr>
        <w:tabs>
          <w:tab w:val="num" w:pos="926"/>
        </w:tabs>
        <w:ind w:left="926" w:hanging="360"/>
      </w:pPr>
    </w:lvl>
  </w:abstractNum>
  <w:abstractNum w:abstractNumId="3">
    <w:nsid w:val="FFFFFF7F"/>
    <w:multiLevelType w:val="singleLevel"/>
    <w:tmpl w:val="940057AA"/>
    <w:lvl w:ilvl="0">
      <w:start w:val="1"/>
      <w:numFmt w:val="decimal"/>
      <w:lvlText w:val="%1."/>
      <w:lvlJc w:val="left"/>
      <w:pPr>
        <w:tabs>
          <w:tab w:val="num" w:pos="643"/>
        </w:tabs>
        <w:ind w:left="643" w:hanging="360"/>
      </w:pPr>
    </w:lvl>
  </w:abstractNum>
  <w:abstractNum w:abstractNumId="4">
    <w:nsid w:val="FFFFFF80"/>
    <w:multiLevelType w:val="singleLevel"/>
    <w:tmpl w:val="A0823A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7ED1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58A8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02EC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F64A94"/>
    <w:lvl w:ilvl="0">
      <w:start w:val="1"/>
      <w:numFmt w:val="decimal"/>
      <w:lvlText w:val="%1."/>
      <w:lvlJc w:val="left"/>
      <w:pPr>
        <w:tabs>
          <w:tab w:val="num" w:pos="360"/>
        </w:tabs>
        <w:ind w:left="360" w:hanging="360"/>
      </w:pPr>
    </w:lvl>
  </w:abstractNum>
  <w:abstractNum w:abstractNumId="9">
    <w:nsid w:val="FFFFFF89"/>
    <w:multiLevelType w:val="singleLevel"/>
    <w:tmpl w:val="C8CE35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8380B58"/>
    <w:multiLevelType w:val="hybridMultilevel"/>
    <w:tmpl w:val="D9481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2EA53CC"/>
    <w:multiLevelType w:val="multilevel"/>
    <w:tmpl w:val="125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7D55B4"/>
    <w:multiLevelType w:val="hybridMultilevel"/>
    <w:tmpl w:val="240659EE"/>
    <w:lvl w:ilvl="0" w:tplc="F9C219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244B01"/>
    <w:multiLevelType w:val="multilevel"/>
    <w:tmpl w:val="723E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5146BC"/>
    <w:multiLevelType w:val="hybridMultilevel"/>
    <w:tmpl w:val="CC86C3F2"/>
    <w:lvl w:ilvl="0" w:tplc="7C3469E4">
      <w:numFmt w:val="bullet"/>
      <w:lvlText w:val=""/>
      <w:lvlJc w:val="left"/>
      <w:pPr>
        <w:ind w:left="720" w:hanging="360"/>
      </w:pPr>
      <w:rPr>
        <w:rFonts w:ascii="Symbol" w:eastAsia="Times New Roman" w:hAnsi="Symbol" w:cs="Times New Roman"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653942"/>
    <w:multiLevelType w:val="hybridMultilevel"/>
    <w:tmpl w:val="F7C00B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66615B"/>
    <w:multiLevelType w:val="hybridMultilevel"/>
    <w:tmpl w:val="4536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476B7E"/>
    <w:multiLevelType w:val="hybridMultilevel"/>
    <w:tmpl w:val="3B6A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310B29"/>
    <w:multiLevelType w:val="hybridMultilevel"/>
    <w:tmpl w:val="BB681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C420A9"/>
    <w:multiLevelType w:val="hybridMultilevel"/>
    <w:tmpl w:val="8CD07A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87A60D8"/>
    <w:multiLevelType w:val="hybridMultilevel"/>
    <w:tmpl w:val="1D1C2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8E0EA4"/>
    <w:multiLevelType w:val="multilevel"/>
    <w:tmpl w:val="AFF0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45234"/>
    <w:multiLevelType w:val="hybridMultilevel"/>
    <w:tmpl w:val="94EC93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nsid w:val="440C33E7"/>
    <w:multiLevelType w:val="multilevel"/>
    <w:tmpl w:val="AF3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BB6B61"/>
    <w:multiLevelType w:val="hybridMultilevel"/>
    <w:tmpl w:val="48DA3A66"/>
    <w:lvl w:ilvl="0" w:tplc="F9C219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412DD2"/>
    <w:multiLevelType w:val="hybridMultilevel"/>
    <w:tmpl w:val="D728CF7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801D4"/>
    <w:multiLevelType w:val="hybridMultilevel"/>
    <w:tmpl w:val="9C5872E4"/>
    <w:lvl w:ilvl="0" w:tplc="F9C21984">
      <w:numFmt w:val="bullet"/>
      <w:lvlText w:val=""/>
      <w:lvlJc w:val="left"/>
      <w:pPr>
        <w:ind w:left="862" w:hanging="360"/>
      </w:pPr>
      <w:rPr>
        <w:rFonts w:ascii="Symbol" w:eastAsia="Times New Roman" w:hAnsi="Symbo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nsid w:val="6EDD732C"/>
    <w:multiLevelType w:val="hybridMultilevel"/>
    <w:tmpl w:val="8BCE029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ED2971"/>
    <w:multiLevelType w:val="multilevel"/>
    <w:tmpl w:val="4318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D963B6"/>
    <w:multiLevelType w:val="hybridMultilevel"/>
    <w:tmpl w:val="F424C630"/>
    <w:lvl w:ilvl="0" w:tplc="F9C219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2">
    <w:nsid w:val="7AA6770C"/>
    <w:multiLevelType w:val="hybridMultilevel"/>
    <w:tmpl w:val="B7D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1"/>
  </w:num>
  <w:num w:numId="14">
    <w:abstractNumId w:val="19"/>
  </w:num>
  <w:num w:numId="15">
    <w:abstractNumId w:val="28"/>
  </w:num>
  <w:num w:numId="16">
    <w:abstractNumId w:val="26"/>
  </w:num>
  <w:num w:numId="17">
    <w:abstractNumId w:val="15"/>
  </w:num>
  <w:num w:numId="18">
    <w:abstractNumId w:val="16"/>
  </w:num>
  <w:num w:numId="19">
    <w:abstractNumId w:val="24"/>
  </w:num>
  <w:num w:numId="20">
    <w:abstractNumId w:val="12"/>
  </w:num>
  <w:num w:numId="21">
    <w:abstractNumId w:val="29"/>
  </w:num>
  <w:num w:numId="22">
    <w:abstractNumId w:val="14"/>
  </w:num>
  <w:num w:numId="23">
    <w:abstractNumId w:val="22"/>
  </w:num>
  <w:num w:numId="24">
    <w:abstractNumId w:val="23"/>
  </w:num>
  <w:num w:numId="25">
    <w:abstractNumId w:val="18"/>
  </w:num>
  <w:num w:numId="26">
    <w:abstractNumId w:val="25"/>
  </w:num>
  <w:num w:numId="27">
    <w:abstractNumId w:val="27"/>
  </w:num>
  <w:num w:numId="28">
    <w:abstractNumId w:val="13"/>
  </w:num>
  <w:num w:numId="29">
    <w:abstractNumId w:val="30"/>
  </w:num>
  <w:num w:numId="30">
    <w:abstractNumId w:val="32"/>
  </w:num>
  <w:num w:numId="31">
    <w:abstractNumId w:val="11"/>
  </w:num>
  <w:num w:numId="32">
    <w:abstractNumId w:val="17"/>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BED"/>
    <w:rsid w:val="00000684"/>
    <w:rsid w:val="00004AC4"/>
    <w:rsid w:val="00011B27"/>
    <w:rsid w:val="00022193"/>
    <w:rsid w:val="000232B2"/>
    <w:rsid w:val="000254FF"/>
    <w:rsid w:val="00035B00"/>
    <w:rsid w:val="000433EE"/>
    <w:rsid w:val="00053245"/>
    <w:rsid w:val="000655E1"/>
    <w:rsid w:val="00081113"/>
    <w:rsid w:val="00083D05"/>
    <w:rsid w:val="0009629F"/>
    <w:rsid w:val="000A023F"/>
    <w:rsid w:val="000B10CE"/>
    <w:rsid w:val="000C329A"/>
    <w:rsid w:val="000C42DB"/>
    <w:rsid w:val="000C43D9"/>
    <w:rsid w:val="000E06B3"/>
    <w:rsid w:val="000E070E"/>
    <w:rsid w:val="000E0F7C"/>
    <w:rsid w:val="000E1588"/>
    <w:rsid w:val="000F505C"/>
    <w:rsid w:val="00103A64"/>
    <w:rsid w:val="00104D9A"/>
    <w:rsid w:val="00105128"/>
    <w:rsid w:val="00105896"/>
    <w:rsid w:val="00112886"/>
    <w:rsid w:val="00133AE8"/>
    <w:rsid w:val="00136984"/>
    <w:rsid w:val="001370DD"/>
    <w:rsid w:val="00150933"/>
    <w:rsid w:val="001577A8"/>
    <w:rsid w:val="00162416"/>
    <w:rsid w:val="00172984"/>
    <w:rsid w:val="0017738A"/>
    <w:rsid w:val="001B1CFD"/>
    <w:rsid w:val="001B39BF"/>
    <w:rsid w:val="001C4927"/>
    <w:rsid w:val="001D3BA9"/>
    <w:rsid w:val="001E6FB7"/>
    <w:rsid w:val="001F5301"/>
    <w:rsid w:val="001F62A2"/>
    <w:rsid w:val="00211F1A"/>
    <w:rsid w:val="002177A1"/>
    <w:rsid w:val="00224823"/>
    <w:rsid w:val="00224ACA"/>
    <w:rsid w:val="00225B4C"/>
    <w:rsid w:val="002278EB"/>
    <w:rsid w:val="00231691"/>
    <w:rsid w:val="002449EF"/>
    <w:rsid w:val="00246382"/>
    <w:rsid w:val="00263CDA"/>
    <w:rsid w:val="00265FA5"/>
    <w:rsid w:val="00273333"/>
    <w:rsid w:val="002814F3"/>
    <w:rsid w:val="00282FF2"/>
    <w:rsid w:val="002830D3"/>
    <w:rsid w:val="00296E18"/>
    <w:rsid w:val="002B1361"/>
    <w:rsid w:val="002C4221"/>
    <w:rsid w:val="002D3E76"/>
    <w:rsid w:val="002D7BDB"/>
    <w:rsid w:val="002E22E1"/>
    <w:rsid w:val="002E2B35"/>
    <w:rsid w:val="0030182D"/>
    <w:rsid w:val="00302049"/>
    <w:rsid w:val="00313A90"/>
    <w:rsid w:val="0033386E"/>
    <w:rsid w:val="003434F2"/>
    <w:rsid w:val="003439FE"/>
    <w:rsid w:val="00343B35"/>
    <w:rsid w:val="00365BA7"/>
    <w:rsid w:val="00366AFF"/>
    <w:rsid w:val="00376D3F"/>
    <w:rsid w:val="003A65D1"/>
    <w:rsid w:val="003B0BF6"/>
    <w:rsid w:val="003C6FD5"/>
    <w:rsid w:val="003D0288"/>
    <w:rsid w:val="003D3ACE"/>
    <w:rsid w:val="003D6A10"/>
    <w:rsid w:val="003D726B"/>
    <w:rsid w:val="003F5F92"/>
    <w:rsid w:val="0040632C"/>
    <w:rsid w:val="004109AE"/>
    <w:rsid w:val="0041654A"/>
    <w:rsid w:val="00417FE2"/>
    <w:rsid w:val="00453EB5"/>
    <w:rsid w:val="00454F14"/>
    <w:rsid w:val="00457711"/>
    <w:rsid w:val="0048042A"/>
    <w:rsid w:val="0048548C"/>
    <w:rsid w:val="004A69BB"/>
    <w:rsid w:val="004B64FE"/>
    <w:rsid w:val="004B770D"/>
    <w:rsid w:val="004C5120"/>
    <w:rsid w:val="004E01C9"/>
    <w:rsid w:val="004E05FC"/>
    <w:rsid w:val="004E2D51"/>
    <w:rsid w:val="004E7057"/>
    <w:rsid w:val="004F4764"/>
    <w:rsid w:val="00503342"/>
    <w:rsid w:val="005033D9"/>
    <w:rsid w:val="005036A8"/>
    <w:rsid w:val="0052660D"/>
    <w:rsid w:val="0053685E"/>
    <w:rsid w:val="00560C61"/>
    <w:rsid w:val="0056359B"/>
    <w:rsid w:val="00573F0A"/>
    <w:rsid w:val="00586EBB"/>
    <w:rsid w:val="0059024C"/>
    <w:rsid w:val="005A0021"/>
    <w:rsid w:val="005A15F4"/>
    <w:rsid w:val="005A4883"/>
    <w:rsid w:val="005B123E"/>
    <w:rsid w:val="005B1B97"/>
    <w:rsid w:val="005B777D"/>
    <w:rsid w:val="005C3E1D"/>
    <w:rsid w:val="005D02E7"/>
    <w:rsid w:val="005E14FC"/>
    <w:rsid w:val="005E733F"/>
    <w:rsid w:val="005F5973"/>
    <w:rsid w:val="005F6F90"/>
    <w:rsid w:val="006044B3"/>
    <w:rsid w:val="0060486E"/>
    <w:rsid w:val="006066AF"/>
    <w:rsid w:val="00607FDA"/>
    <w:rsid w:val="00613917"/>
    <w:rsid w:val="0061621B"/>
    <w:rsid w:val="00621A32"/>
    <w:rsid w:val="0062497A"/>
    <w:rsid w:val="00633A82"/>
    <w:rsid w:val="0064527D"/>
    <w:rsid w:val="00653B3A"/>
    <w:rsid w:val="00660041"/>
    <w:rsid w:val="006752D3"/>
    <w:rsid w:val="00695E75"/>
    <w:rsid w:val="006A7266"/>
    <w:rsid w:val="006B19C7"/>
    <w:rsid w:val="006B4C85"/>
    <w:rsid w:val="006B4E4D"/>
    <w:rsid w:val="006B77B0"/>
    <w:rsid w:val="006C37D5"/>
    <w:rsid w:val="006E3254"/>
    <w:rsid w:val="0070084B"/>
    <w:rsid w:val="0070560D"/>
    <w:rsid w:val="00723FE5"/>
    <w:rsid w:val="00725313"/>
    <w:rsid w:val="00726A2E"/>
    <w:rsid w:val="007325FD"/>
    <w:rsid w:val="0074020B"/>
    <w:rsid w:val="007551FB"/>
    <w:rsid w:val="00755B70"/>
    <w:rsid w:val="00761369"/>
    <w:rsid w:val="007651E3"/>
    <w:rsid w:val="007844F3"/>
    <w:rsid w:val="007860C6"/>
    <w:rsid w:val="00796921"/>
    <w:rsid w:val="0079718A"/>
    <w:rsid w:val="007A1C61"/>
    <w:rsid w:val="007A246A"/>
    <w:rsid w:val="007B0903"/>
    <w:rsid w:val="007B2447"/>
    <w:rsid w:val="007C5F51"/>
    <w:rsid w:val="007C7965"/>
    <w:rsid w:val="007D3B70"/>
    <w:rsid w:val="008007A5"/>
    <w:rsid w:val="008214D9"/>
    <w:rsid w:val="00830F61"/>
    <w:rsid w:val="00832B47"/>
    <w:rsid w:val="008375D2"/>
    <w:rsid w:val="00843AA7"/>
    <w:rsid w:val="008477D4"/>
    <w:rsid w:val="00850F33"/>
    <w:rsid w:val="00852199"/>
    <w:rsid w:val="008576E9"/>
    <w:rsid w:val="008644C8"/>
    <w:rsid w:val="0087178D"/>
    <w:rsid w:val="008766C6"/>
    <w:rsid w:val="00895F2F"/>
    <w:rsid w:val="008A35FC"/>
    <w:rsid w:val="008A4217"/>
    <w:rsid w:val="008E3B1C"/>
    <w:rsid w:val="008E40DC"/>
    <w:rsid w:val="008E7216"/>
    <w:rsid w:val="008F735E"/>
    <w:rsid w:val="008F7D97"/>
    <w:rsid w:val="00904150"/>
    <w:rsid w:val="00912644"/>
    <w:rsid w:val="0091283F"/>
    <w:rsid w:val="00916913"/>
    <w:rsid w:val="009247FA"/>
    <w:rsid w:val="00930A88"/>
    <w:rsid w:val="00935D5E"/>
    <w:rsid w:val="009375AB"/>
    <w:rsid w:val="00946A8E"/>
    <w:rsid w:val="0095454A"/>
    <w:rsid w:val="00956B40"/>
    <w:rsid w:val="00967804"/>
    <w:rsid w:val="009739CF"/>
    <w:rsid w:val="009938E2"/>
    <w:rsid w:val="00993982"/>
    <w:rsid w:val="009A386B"/>
    <w:rsid w:val="009A48C9"/>
    <w:rsid w:val="009A4FBF"/>
    <w:rsid w:val="009A5130"/>
    <w:rsid w:val="009B33A0"/>
    <w:rsid w:val="009C74A4"/>
    <w:rsid w:val="009E00CF"/>
    <w:rsid w:val="009E0EDE"/>
    <w:rsid w:val="009E3E78"/>
    <w:rsid w:val="009E6DF9"/>
    <w:rsid w:val="009F7D94"/>
    <w:rsid w:val="00A11124"/>
    <w:rsid w:val="00A157A5"/>
    <w:rsid w:val="00A179E0"/>
    <w:rsid w:val="00A21DDE"/>
    <w:rsid w:val="00A4092A"/>
    <w:rsid w:val="00A503D8"/>
    <w:rsid w:val="00A60142"/>
    <w:rsid w:val="00A61A00"/>
    <w:rsid w:val="00A711CC"/>
    <w:rsid w:val="00A8346A"/>
    <w:rsid w:val="00A935BF"/>
    <w:rsid w:val="00A94420"/>
    <w:rsid w:val="00AA387F"/>
    <w:rsid w:val="00AB2E32"/>
    <w:rsid w:val="00AC743F"/>
    <w:rsid w:val="00AD2C24"/>
    <w:rsid w:val="00AD4006"/>
    <w:rsid w:val="00AE2F79"/>
    <w:rsid w:val="00AE30D8"/>
    <w:rsid w:val="00AF1273"/>
    <w:rsid w:val="00AF3130"/>
    <w:rsid w:val="00AF633C"/>
    <w:rsid w:val="00B030C0"/>
    <w:rsid w:val="00B11E79"/>
    <w:rsid w:val="00B176CD"/>
    <w:rsid w:val="00B34D1A"/>
    <w:rsid w:val="00B36AEA"/>
    <w:rsid w:val="00B550D7"/>
    <w:rsid w:val="00B60153"/>
    <w:rsid w:val="00B6794E"/>
    <w:rsid w:val="00B86EAA"/>
    <w:rsid w:val="00B962DF"/>
    <w:rsid w:val="00BA1594"/>
    <w:rsid w:val="00BB0C7B"/>
    <w:rsid w:val="00BB4BEE"/>
    <w:rsid w:val="00BC3484"/>
    <w:rsid w:val="00BC7E5C"/>
    <w:rsid w:val="00BD785A"/>
    <w:rsid w:val="00BF6A8D"/>
    <w:rsid w:val="00C02004"/>
    <w:rsid w:val="00C05209"/>
    <w:rsid w:val="00C070AB"/>
    <w:rsid w:val="00C20F31"/>
    <w:rsid w:val="00C2778C"/>
    <w:rsid w:val="00C37C66"/>
    <w:rsid w:val="00C41459"/>
    <w:rsid w:val="00C51FE2"/>
    <w:rsid w:val="00C53545"/>
    <w:rsid w:val="00C630F7"/>
    <w:rsid w:val="00C65973"/>
    <w:rsid w:val="00C71E7E"/>
    <w:rsid w:val="00C74B24"/>
    <w:rsid w:val="00C96548"/>
    <w:rsid w:val="00C977E2"/>
    <w:rsid w:val="00C97F6B"/>
    <w:rsid w:val="00CA2738"/>
    <w:rsid w:val="00CA2911"/>
    <w:rsid w:val="00CA5B2A"/>
    <w:rsid w:val="00CB6711"/>
    <w:rsid w:val="00CB67CD"/>
    <w:rsid w:val="00CC1013"/>
    <w:rsid w:val="00CC1E17"/>
    <w:rsid w:val="00CD07A6"/>
    <w:rsid w:val="00CD6BE0"/>
    <w:rsid w:val="00CD7634"/>
    <w:rsid w:val="00CD794D"/>
    <w:rsid w:val="00CE07AC"/>
    <w:rsid w:val="00CF19B1"/>
    <w:rsid w:val="00D031CE"/>
    <w:rsid w:val="00D06612"/>
    <w:rsid w:val="00D10704"/>
    <w:rsid w:val="00D10741"/>
    <w:rsid w:val="00D17052"/>
    <w:rsid w:val="00D21F37"/>
    <w:rsid w:val="00D22B0C"/>
    <w:rsid w:val="00D2536D"/>
    <w:rsid w:val="00D33662"/>
    <w:rsid w:val="00D476BD"/>
    <w:rsid w:val="00D6616E"/>
    <w:rsid w:val="00D7036C"/>
    <w:rsid w:val="00D71F09"/>
    <w:rsid w:val="00D81BED"/>
    <w:rsid w:val="00D916C9"/>
    <w:rsid w:val="00DB6BC8"/>
    <w:rsid w:val="00DE7745"/>
    <w:rsid w:val="00DF02A3"/>
    <w:rsid w:val="00DF2E2C"/>
    <w:rsid w:val="00E129D1"/>
    <w:rsid w:val="00E40D19"/>
    <w:rsid w:val="00E42193"/>
    <w:rsid w:val="00E4621D"/>
    <w:rsid w:val="00E822A0"/>
    <w:rsid w:val="00EB3C1F"/>
    <w:rsid w:val="00ED1E5A"/>
    <w:rsid w:val="00ED7C61"/>
    <w:rsid w:val="00EF3E02"/>
    <w:rsid w:val="00EF5E1F"/>
    <w:rsid w:val="00F015DB"/>
    <w:rsid w:val="00F11D4D"/>
    <w:rsid w:val="00F11F8F"/>
    <w:rsid w:val="00F15265"/>
    <w:rsid w:val="00F17AC0"/>
    <w:rsid w:val="00F22607"/>
    <w:rsid w:val="00F25D69"/>
    <w:rsid w:val="00F33D42"/>
    <w:rsid w:val="00F4469D"/>
    <w:rsid w:val="00F5057B"/>
    <w:rsid w:val="00F573C3"/>
    <w:rsid w:val="00F63D48"/>
    <w:rsid w:val="00F64A40"/>
    <w:rsid w:val="00F67D0F"/>
    <w:rsid w:val="00F704E4"/>
    <w:rsid w:val="00F72318"/>
    <w:rsid w:val="00F73BF5"/>
    <w:rsid w:val="00F81166"/>
    <w:rsid w:val="00FA75AC"/>
    <w:rsid w:val="00FB0C33"/>
    <w:rsid w:val="00FC4BD1"/>
    <w:rsid w:val="00FD0FCE"/>
    <w:rsid w:val="00FD1A0E"/>
    <w:rsid w:val="00FD2A95"/>
    <w:rsid w:val="00FE61F1"/>
    <w:rsid w:val="00FF3D0A"/>
    <w:rsid w:val="00FF6C9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4D"/>
    <w:rPr>
      <w:rFonts w:ascii="Lucida Sans" w:hAnsi="Lucida Sans"/>
      <w:sz w:val="18"/>
      <w:szCs w:val="24"/>
    </w:rPr>
  </w:style>
  <w:style w:type="paragraph" w:styleId="Heading1">
    <w:name w:val="heading 1"/>
    <w:basedOn w:val="Normal"/>
    <w:next w:val="Normal"/>
    <w:qFormat/>
    <w:rsid w:val="00F67D0F"/>
    <w:pPr>
      <w:keepNext/>
      <w:numPr>
        <w:numId w:val="1"/>
      </w:numPr>
      <w:pBdr>
        <w:bottom w:val="single" w:sz="8" w:space="1" w:color="808080"/>
      </w:pBdr>
      <w:spacing w:before="240" w:after="120"/>
      <w:outlineLvl w:val="0"/>
    </w:pPr>
    <w:rPr>
      <w:rFonts w:cs="Arial"/>
      <w:b/>
      <w:bCs/>
      <w:kern w:val="1"/>
      <w:sz w:val="28"/>
      <w:szCs w:val="28"/>
    </w:rPr>
  </w:style>
  <w:style w:type="paragraph" w:styleId="Heading2">
    <w:name w:val="heading 2"/>
    <w:basedOn w:val="Normal"/>
    <w:next w:val="Normal"/>
    <w:qFormat/>
    <w:rsid w:val="00F67D0F"/>
    <w:pPr>
      <w:keepNext/>
      <w:numPr>
        <w:ilvl w:val="1"/>
        <w:numId w:val="1"/>
      </w:numPr>
      <w:outlineLvl w:val="1"/>
    </w:pPr>
    <w:rPr>
      <w:rFonts w:cs="Arial"/>
      <w:b/>
      <w:bCs/>
      <w:iCs/>
      <w:sz w:val="24"/>
    </w:rPr>
  </w:style>
  <w:style w:type="paragraph" w:styleId="Heading3">
    <w:name w:val="heading 3"/>
    <w:basedOn w:val="Normal"/>
    <w:next w:val="Normal"/>
    <w:link w:val="Heading3Char"/>
    <w:qFormat/>
    <w:rsid w:val="00F67D0F"/>
    <w:pPr>
      <w:keepNext/>
      <w:numPr>
        <w:ilvl w:val="2"/>
        <w:numId w:val="1"/>
      </w:numPr>
      <w:outlineLvl w:val="2"/>
    </w:pPr>
    <w:rPr>
      <w:b/>
      <w:bCs/>
      <w:i/>
      <w:szCs w:val="26"/>
      <w:lang/>
    </w:rPr>
  </w:style>
  <w:style w:type="paragraph" w:styleId="Heading4">
    <w:name w:val="heading 4"/>
    <w:basedOn w:val="Normal"/>
    <w:next w:val="Normal"/>
    <w:qFormat/>
    <w:rsid w:val="00F67D0F"/>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67D0F"/>
    <w:rPr>
      <w:color w:val="0000FF"/>
      <w:u w:val="single"/>
    </w:rPr>
  </w:style>
  <w:style w:type="character" w:styleId="PageNumber">
    <w:name w:val="page number"/>
    <w:basedOn w:val="DefaultParagraphFont"/>
    <w:semiHidden/>
    <w:rsid w:val="00F67D0F"/>
  </w:style>
  <w:style w:type="paragraph" w:customStyle="1" w:styleId="Heading">
    <w:name w:val="Heading"/>
    <w:basedOn w:val="Normal"/>
    <w:next w:val="BodyText"/>
    <w:rsid w:val="00F67D0F"/>
    <w:pPr>
      <w:keepNext/>
      <w:spacing w:before="240" w:after="120"/>
    </w:pPr>
    <w:rPr>
      <w:rFonts w:ascii="Arial" w:eastAsia="MS Mincho" w:hAnsi="Arial" w:cs="Tahoma"/>
      <w:sz w:val="28"/>
      <w:szCs w:val="28"/>
    </w:rPr>
  </w:style>
  <w:style w:type="paragraph" w:styleId="BodyText">
    <w:name w:val="Body Text"/>
    <w:basedOn w:val="Normal"/>
    <w:semiHidden/>
    <w:rsid w:val="00F67D0F"/>
    <w:pPr>
      <w:spacing w:after="120"/>
    </w:pPr>
  </w:style>
  <w:style w:type="paragraph" w:styleId="List">
    <w:name w:val="List"/>
    <w:basedOn w:val="BodyText"/>
    <w:semiHidden/>
    <w:rsid w:val="00F67D0F"/>
    <w:rPr>
      <w:rFonts w:ascii="Arial" w:hAnsi="Arial" w:cs="Tahoma"/>
    </w:rPr>
  </w:style>
  <w:style w:type="paragraph" w:styleId="Caption">
    <w:name w:val="caption"/>
    <w:basedOn w:val="Normal"/>
    <w:qFormat/>
    <w:rsid w:val="00F67D0F"/>
    <w:pPr>
      <w:suppressLineNumbers/>
      <w:spacing w:before="120" w:after="120"/>
    </w:pPr>
    <w:rPr>
      <w:rFonts w:ascii="Arial" w:hAnsi="Arial" w:cs="Tahoma"/>
      <w:i/>
      <w:iCs/>
      <w:sz w:val="24"/>
    </w:rPr>
  </w:style>
  <w:style w:type="paragraph" w:customStyle="1" w:styleId="Index">
    <w:name w:val="Index"/>
    <w:basedOn w:val="Normal"/>
    <w:rsid w:val="00F67D0F"/>
    <w:pPr>
      <w:suppressLineNumbers/>
    </w:pPr>
    <w:rPr>
      <w:rFonts w:ascii="Arial" w:hAnsi="Arial" w:cs="Tahoma"/>
    </w:rPr>
  </w:style>
  <w:style w:type="paragraph" w:styleId="Header">
    <w:name w:val="header"/>
    <w:basedOn w:val="Normal"/>
    <w:semiHidden/>
    <w:rsid w:val="00F67D0F"/>
    <w:pPr>
      <w:tabs>
        <w:tab w:val="center" w:pos="4153"/>
        <w:tab w:val="right" w:pos="8306"/>
      </w:tabs>
    </w:pPr>
  </w:style>
  <w:style w:type="paragraph" w:styleId="Footer">
    <w:name w:val="footer"/>
    <w:basedOn w:val="Normal"/>
    <w:link w:val="FooterChar"/>
    <w:uiPriority w:val="99"/>
    <w:rsid w:val="00F67D0F"/>
    <w:pPr>
      <w:pBdr>
        <w:top w:val="single" w:sz="8" w:space="1" w:color="808080"/>
      </w:pBdr>
      <w:tabs>
        <w:tab w:val="center" w:pos="4153"/>
        <w:tab w:val="right" w:pos="8820"/>
      </w:tabs>
    </w:pPr>
    <w:rPr>
      <w:sz w:val="20"/>
      <w:szCs w:val="20"/>
      <w:lang/>
    </w:rPr>
  </w:style>
  <w:style w:type="paragraph" w:customStyle="1" w:styleId="Title1">
    <w:name w:val="Title1"/>
    <w:basedOn w:val="Normal"/>
    <w:rsid w:val="00F67D0F"/>
    <w:rPr>
      <w:b/>
      <w:bCs/>
      <w:sz w:val="36"/>
      <w:szCs w:val="36"/>
    </w:rPr>
  </w:style>
  <w:style w:type="paragraph" w:customStyle="1" w:styleId="tabletext">
    <w:name w:val="table text"/>
    <w:basedOn w:val="Normal"/>
    <w:rsid w:val="00F67D0F"/>
    <w:pPr>
      <w:spacing w:before="60" w:after="60"/>
      <w:ind w:right="113"/>
    </w:pPr>
  </w:style>
  <w:style w:type="paragraph" w:customStyle="1" w:styleId="Subtitle1">
    <w:name w:val="Subtitle1"/>
    <w:basedOn w:val="Normal"/>
    <w:rsid w:val="00F67D0F"/>
    <w:rPr>
      <w:b/>
      <w:sz w:val="28"/>
      <w:szCs w:val="28"/>
    </w:rPr>
  </w:style>
  <w:style w:type="paragraph" w:customStyle="1" w:styleId="keywords">
    <w:name w:val="keywords"/>
    <w:basedOn w:val="Normal"/>
    <w:rsid w:val="00F67D0F"/>
  </w:style>
  <w:style w:type="paragraph" w:customStyle="1" w:styleId="formfill">
    <w:name w:val="form fill"/>
    <w:basedOn w:val="Normal"/>
    <w:rsid w:val="00F67D0F"/>
    <w:pPr>
      <w:tabs>
        <w:tab w:val="left" w:leader="dot" w:pos="8460"/>
      </w:tabs>
    </w:pPr>
    <w:rPr>
      <w:lang w:val="en-US"/>
    </w:rPr>
  </w:style>
  <w:style w:type="paragraph" w:customStyle="1" w:styleId="formfill2">
    <w:name w:val="form fill 2"/>
    <w:basedOn w:val="formfill"/>
    <w:rsid w:val="00F67D0F"/>
    <w:pPr>
      <w:tabs>
        <w:tab w:val="left" w:leader="dot" w:pos="4500"/>
      </w:tabs>
    </w:pPr>
  </w:style>
  <w:style w:type="paragraph" w:styleId="BodyTextIndent">
    <w:name w:val="Body Text Indent"/>
    <w:basedOn w:val="Normal"/>
    <w:semiHidden/>
    <w:rsid w:val="00F67D0F"/>
    <w:pPr>
      <w:tabs>
        <w:tab w:val="left" w:pos="-720"/>
        <w:tab w:val="left" w:pos="0"/>
      </w:tabs>
      <w:suppressAutoHyphens/>
      <w:ind w:left="720" w:hanging="720"/>
    </w:pPr>
    <w:rPr>
      <w:rFonts w:ascii="Tahoma" w:hAnsi="Tahoma"/>
      <w:spacing w:val="-3"/>
      <w:kern w:val="1"/>
      <w:sz w:val="24"/>
      <w:szCs w:val="20"/>
    </w:rPr>
  </w:style>
  <w:style w:type="paragraph" w:customStyle="1" w:styleId="TableContents">
    <w:name w:val="Table Contents"/>
    <w:basedOn w:val="Normal"/>
    <w:rsid w:val="00F67D0F"/>
    <w:pPr>
      <w:suppressLineNumbers/>
    </w:pPr>
  </w:style>
  <w:style w:type="paragraph" w:customStyle="1" w:styleId="TableHeading">
    <w:name w:val="Table Heading"/>
    <w:basedOn w:val="TableContents"/>
    <w:rsid w:val="00F67D0F"/>
    <w:pPr>
      <w:jc w:val="center"/>
    </w:pPr>
    <w:rPr>
      <w:b/>
      <w:bCs/>
    </w:rPr>
  </w:style>
  <w:style w:type="paragraph" w:styleId="BalloonText">
    <w:name w:val="Balloon Text"/>
    <w:basedOn w:val="Normal"/>
    <w:semiHidden/>
    <w:rsid w:val="005033D9"/>
    <w:rPr>
      <w:rFonts w:ascii="Tahoma" w:hAnsi="Tahoma" w:cs="Tahoma"/>
      <w:sz w:val="16"/>
      <w:szCs w:val="16"/>
    </w:rPr>
  </w:style>
  <w:style w:type="character" w:customStyle="1" w:styleId="QABoldCharacters">
    <w:name w:val="QA Bold Characters"/>
    <w:rsid w:val="00CD794D"/>
    <w:rPr>
      <w:rFonts w:ascii="Lucida Sans" w:hAnsi="Lucida Sans"/>
      <w:b/>
      <w:sz w:val="18"/>
    </w:rPr>
  </w:style>
  <w:style w:type="paragraph" w:customStyle="1" w:styleId="QAhandbookheading1">
    <w:name w:val="QA handbook heading 1"/>
    <w:basedOn w:val="Normal"/>
    <w:rsid w:val="00CD794D"/>
    <w:rPr>
      <w:b/>
      <w:sz w:val="32"/>
    </w:rPr>
  </w:style>
  <w:style w:type="paragraph" w:customStyle="1" w:styleId="QAhandbookheading2">
    <w:name w:val="QA handbook heading 2"/>
    <w:basedOn w:val="Normal"/>
    <w:rsid w:val="00CD794D"/>
    <w:rPr>
      <w:b/>
      <w:sz w:val="24"/>
    </w:rPr>
  </w:style>
  <w:style w:type="paragraph" w:customStyle="1" w:styleId="QAHandbooksmallheading">
    <w:name w:val="QA Handbook small heading"/>
    <w:basedOn w:val="QAhandbookheading2"/>
    <w:rsid w:val="00CD794D"/>
    <w:rPr>
      <w:sz w:val="18"/>
    </w:rPr>
  </w:style>
  <w:style w:type="paragraph" w:customStyle="1" w:styleId="QAhandbookheader">
    <w:name w:val="QAhandbook header"/>
    <w:basedOn w:val="Normal"/>
    <w:rsid w:val="00CD794D"/>
    <w:rPr>
      <w:b/>
      <w:sz w:val="36"/>
    </w:rPr>
  </w:style>
  <w:style w:type="paragraph" w:customStyle="1" w:styleId="StyleRightLeft476cm">
    <w:name w:val="Style Right Left:  4.76 cm"/>
    <w:basedOn w:val="Normal"/>
    <w:rsid w:val="00CD794D"/>
    <w:pPr>
      <w:ind w:left="2700"/>
      <w:jc w:val="right"/>
    </w:pPr>
    <w:rPr>
      <w:szCs w:val="20"/>
    </w:rPr>
  </w:style>
  <w:style w:type="table" w:styleId="TableGrid">
    <w:name w:val="Table Grid"/>
    <w:basedOn w:val="TableNormal"/>
    <w:rsid w:val="002463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24638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644C8"/>
    <w:rPr>
      <w:rFonts w:ascii="Lucida Sans" w:hAnsi="Lucida Sans"/>
      <w:lang w:eastAsia="en-GB"/>
    </w:rPr>
  </w:style>
  <w:style w:type="paragraph" w:styleId="ListParagraph">
    <w:name w:val="List Paragraph"/>
    <w:basedOn w:val="Normal"/>
    <w:uiPriority w:val="34"/>
    <w:qFormat/>
    <w:rsid w:val="00C96548"/>
    <w:pPr>
      <w:ind w:left="720"/>
    </w:pPr>
  </w:style>
  <w:style w:type="character" w:styleId="CommentReference">
    <w:name w:val="annotation reference"/>
    <w:uiPriority w:val="99"/>
    <w:semiHidden/>
    <w:unhideWhenUsed/>
    <w:rsid w:val="00FD1A0E"/>
    <w:rPr>
      <w:sz w:val="16"/>
      <w:szCs w:val="16"/>
    </w:rPr>
  </w:style>
  <w:style w:type="paragraph" w:styleId="CommentText">
    <w:name w:val="annotation text"/>
    <w:basedOn w:val="Normal"/>
    <w:link w:val="CommentTextChar"/>
    <w:uiPriority w:val="99"/>
    <w:semiHidden/>
    <w:unhideWhenUsed/>
    <w:rsid w:val="00FD1A0E"/>
    <w:rPr>
      <w:sz w:val="20"/>
      <w:szCs w:val="20"/>
      <w:lang/>
    </w:rPr>
  </w:style>
  <w:style w:type="character" w:customStyle="1" w:styleId="CommentTextChar">
    <w:name w:val="Comment Text Char"/>
    <w:link w:val="CommentText"/>
    <w:uiPriority w:val="99"/>
    <w:semiHidden/>
    <w:rsid w:val="00FD1A0E"/>
    <w:rPr>
      <w:rFonts w:ascii="Lucida Sans" w:hAnsi="Lucida Sans"/>
      <w:lang w:eastAsia="en-GB"/>
    </w:rPr>
  </w:style>
  <w:style w:type="paragraph" w:styleId="CommentSubject">
    <w:name w:val="annotation subject"/>
    <w:basedOn w:val="CommentText"/>
    <w:next w:val="CommentText"/>
    <w:link w:val="CommentSubjectChar"/>
    <w:uiPriority w:val="99"/>
    <w:semiHidden/>
    <w:unhideWhenUsed/>
    <w:rsid w:val="00FD1A0E"/>
    <w:rPr>
      <w:b/>
      <w:bCs/>
    </w:rPr>
  </w:style>
  <w:style w:type="character" w:customStyle="1" w:styleId="CommentSubjectChar">
    <w:name w:val="Comment Subject Char"/>
    <w:link w:val="CommentSubject"/>
    <w:uiPriority w:val="99"/>
    <w:semiHidden/>
    <w:rsid w:val="00FD1A0E"/>
    <w:rPr>
      <w:rFonts w:ascii="Lucida Sans" w:hAnsi="Lucida Sans"/>
      <w:b/>
      <w:bCs/>
      <w:lang w:eastAsia="en-GB"/>
    </w:rPr>
  </w:style>
  <w:style w:type="paragraph" w:styleId="NoSpacing">
    <w:name w:val="No Spacing"/>
    <w:uiPriority w:val="1"/>
    <w:qFormat/>
    <w:rsid w:val="00E822A0"/>
    <w:rPr>
      <w:rFonts w:ascii="Calibri" w:eastAsia="Calibri" w:hAnsi="Calibri"/>
      <w:sz w:val="22"/>
      <w:szCs w:val="22"/>
      <w:lang w:eastAsia="en-US"/>
    </w:rPr>
  </w:style>
  <w:style w:type="character" w:customStyle="1" w:styleId="style8">
    <w:name w:val="style8"/>
    <w:basedOn w:val="DefaultParagraphFont"/>
    <w:rsid w:val="00F11D4D"/>
  </w:style>
  <w:style w:type="character" w:styleId="FollowedHyperlink">
    <w:name w:val="FollowedHyperlink"/>
    <w:uiPriority w:val="99"/>
    <w:semiHidden/>
    <w:unhideWhenUsed/>
    <w:rsid w:val="00CB6711"/>
    <w:rPr>
      <w:color w:val="800080"/>
      <w:u w:val="single"/>
    </w:rPr>
  </w:style>
  <w:style w:type="paragraph" w:customStyle="1" w:styleId="Para1">
    <w:name w:val="Para1"/>
    <w:basedOn w:val="Normal"/>
    <w:rsid w:val="0030182D"/>
    <w:pPr>
      <w:numPr>
        <w:numId w:val="33"/>
      </w:numPr>
      <w:spacing w:after="90" w:line="288" w:lineRule="auto"/>
    </w:pPr>
  </w:style>
  <w:style w:type="paragraph" w:customStyle="1" w:styleId="Para2">
    <w:name w:val="Para2"/>
    <w:basedOn w:val="Normal"/>
    <w:rsid w:val="0030182D"/>
    <w:pPr>
      <w:numPr>
        <w:ilvl w:val="1"/>
        <w:numId w:val="33"/>
      </w:numPr>
      <w:spacing w:after="90" w:line="288" w:lineRule="auto"/>
    </w:pPr>
  </w:style>
  <w:style w:type="paragraph" w:customStyle="1" w:styleId="Para3">
    <w:name w:val="Para3"/>
    <w:basedOn w:val="Normal"/>
    <w:rsid w:val="0030182D"/>
    <w:pPr>
      <w:numPr>
        <w:ilvl w:val="2"/>
        <w:numId w:val="33"/>
      </w:numPr>
      <w:spacing w:after="90" w:line="288" w:lineRule="auto"/>
    </w:pPr>
  </w:style>
  <w:style w:type="paragraph" w:customStyle="1" w:styleId="Para4">
    <w:name w:val="Para4"/>
    <w:basedOn w:val="Normal"/>
    <w:rsid w:val="0030182D"/>
    <w:pPr>
      <w:numPr>
        <w:ilvl w:val="3"/>
        <w:numId w:val="33"/>
      </w:numPr>
      <w:spacing w:after="90" w:line="288" w:lineRule="auto"/>
    </w:pPr>
  </w:style>
  <w:style w:type="paragraph" w:customStyle="1" w:styleId="Para5">
    <w:name w:val="Para5"/>
    <w:basedOn w:val="Normal"/>
    <w:rsid w:val="0030182D"/>
    <w:pPr>
      <w:numPr>
        <w:ilvl w:val="4"/>
        <w:numId w:val="33"/>
      </w:numPr>
      <w:spacing w:after="90" w:line="288" w:lineRule="auto"/>
    </w:pPr>
  </w:style>
  <w:style w:type="paragraph" w:customStyle="1" w:styleId="Headerdetails">
    <w:name w:val="Header details"/>
    <w:basedOn w:val="Normal"/>
    <w:rsid w:val="0030182D"/>
    <w:pPr>
      <w:spacing w:after="60" w:line="300" w:lineRule="exact"/>
    </w:pPr>
  </w:style>
  <w:style w:type="character" w:customStyle="1" w:styleId="Heading3Char">
    <w:name w:val="Heading 3 Char"/>
    <w:link w:val="Heading3"/>
    <w:rsid w:val="0030182D"/>
    <w:rPr>
      <w:rFonts w:ascii="Lucida Sans" w:hAnsi="Lucida Sans" w:cs="Arial"/>
      <w:b/>
      <w:bCs/>
      <w:i/>
      <w:sz w:val="18"/>
      <w:szCs w:val="26"/>
    </w:rPr>
  </w:style>
  <w:style w:type="paragraph" w:styleId="FootnoteText">
    <w:name w:val="footnote text"/>
    <w:basedOn w:val="Normal"/>
    <w:link w:val="FootnoteTextChar"/>
    <w:uiPriority w:val="99"/>
    <w:semiHidden/>
    <w:unhideWhenUsed/>
    <w:rsid w:val="00FA75AC"/>
    <w:rPr>
      <w:sz w:val="20"/>
      <w:szCs w:val="20"/>
    </w:rPr>
  </w:style>
  <w:style w:type="character" w:customStyle="1" w:styleId="FootnoteTextChar">
    <w:name w:val="Footnote Text Char"/>
    <w:basedOn w:val="DefaultParagraphFont"/>
    <w:link w:val="FootnoteText"/>
    <w:uiPriority w:val="99"/>
    <w:semiHidden/>
    <w:rsid w:val="00FA75AC"/>
    <w:rPr>
      <w:rFonts w:ascii="Lucida Sans" w:hAnsi="Lucida Sans"/>
    </w:rPr>
  </w:style>
  <w:style w:type="character" w:styleId="FootnoteReference">
    <w:name w:val="footnote reference"/>
    <w:basedOn w:val="DefaultParagraphFont"/>
    <w:uiPriority w:val="99"/>
    <w:semiHidden/>
    <w:unhideWhenUsed/>
    <w:rsid w:val="00FA75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524667">
      <w:bodyDiv w:val="1"/>
      <w:marLeft w:val="0"/>
      <w:marRight w:val="0"/>
      <w:marTop w:val="0"/>
      <w:marBottom w:val="0"/>
      <w:divBdr>
        <w:top w:val="none" w:sz="0" w:space="0" w:color="auto"/>
        <w:left w:val="none" w:sz="0" w:space="0" w:color="auto"/>
        <w:bottom w:val="none" w:sz="0" w:space="0" w:color="auto"/>
        <w:right w:val="none" w:sz="0" w:space="0" w:color="auto"/>
      </w:divBdr>
    </w:div>
    <w:div w:id="385639714">
      <w:bodyDiv w:val="1"/>
      <w:marLeft w:val="0"/>
      <w:marRight w:val="0"/>
      <w:marTop w:val="0"/>
      <w:marBottom w:val="0"/>
      <w:divBdr>
        <w:top w:val="none" w:sz="0" w:space="0" w:color="auto"/>
        <w:left w:val="none" w:sz="0" w:space="0" w:color="auto"/>
        <w:bottom w:val="none" w:sz="0" w:space="0" w:color="auto"/>
        <w:right w:val="none" w:sz="0" w:space="0" w:color="auto"/>
      </w:divBdr>
    </w:div>
    <w:div w:id="627274604">
      <w:bodyDiv w:val="1"/>
      <w:marLeft w:val="0"/>
      <w:marRight w:val="0"/>
      <w:marTop w:val="0"/>
      <w:marBottom w:val="0"/>
      <w:divBdr>
        <w:top w:val="none" w:sz="0" w:space="0" w:color="auto"/>
        <w:left w:val="none" w:sz="0" w:space="0" w:color="auto"/>
        <w:bottom w:val="none" w:sz="0" w:space="0" w:color="auto"/>
        <w:right w:val="none" w:sz="0" w:space="0" w:color="auto"/>
      </w:divBdr>
    </w:div>
    <w:div w:id="874849475">
      <w:bodyDiv w:val="1"/>
      <w:marLeft w:val="0"/>
      <w:marRight w:val="0"/>
      <w:marTop w:val="0"/>
      <w:marBottom w:val="0"/>
      <w:divBdr>
        <w:top w:val="none" w:sz="0" w:space="0" w:color="auto"/>
        <w:left w:val="none" w:sz="0" w:space="0" w:color="auto"/>
        <w:bottom w:val="none" w:sz="0" w:space="0" w:color="auto"/>
        <w:right w:val="none" w:sz="0" w:space="0" w:color="auto"/>
      </w:divBdr>
    </w:div>
    <w:div w:id="986474285">
      <w:bodyDiv w:val="1"/>
      <w:marLeft w:val="0"/>
      <w:marRight w:val="0"/>
      <w:marTop w:val="0"/>
      <w:marBottom w:val="0"/>
      <w:divBdr>
        <w:top w:val="none" w:sz="0" w:space="0" w:color="auto"/>
        <w:left w:val="none" w:sz="0" w:space="0" w:color="auto"/>
        <w:bottom w:val="none" w:sz="0" w:space="0" w:color="auto"/>
        <w:right w:val="none" w:sz="0" w:space="0" w:color="auto"/>
      </w:divBdr>
    </w:div>
    <w:div w:id="1036929525">
      <w:bodyDiv w:val="1"/>
      <w:marLeft w:val="0"/>
      <w:marRight w:val="0"/>
      <w:marTop w:val="0"/>
      <w:marBottom w:val="0"/>
      <w:divBdr>
        <w:top w:val="none" w:sz="0" w:space="0" w:color="auto"/>
        <w:left w:val="none" w:sz="0" w:space="0" w:color="auto"/>
        <w:bottom w:val="none" w:sz="0" w:space="0" w:color="auto"/>
        <w:right w:val="none" w:sz="0" w:space="0" w:color="auto"/>
      </w:divBdr>
      <w:divsChild>
        <w:div w:id="1771774153">
          <w:marLeft w:val="0"/>
          <w:marRight w:val="0"/>
          <w:marTop w:val="0"/>
          <w:marBottom w:val="0"/>
          <w:divBdr>
            <w:top w:val="none" w:sz="0" w:space="0" w:color="auto"/>
            <w:left w:val="none" w:sz="0" w:space="0" w:color="auto"/>
            <w:bottom w:val="none" w:sz="0" w:space="0" w:color="auto"/>
            <w:right w:val="none" w:sz="0" w:space="0" w:color="auto"/>
          </w:divBdr>
          <w:divsChild>
            <w:div w:id="980228591">
              <w:marLeft w:val="0"/>
              <w:marRight w:val="0"/>
              <w:marTop w:val="0"/>
              <w:marBottom w:val="0"/>
              <w:divBdr>
                <w:top w:val="none" w:sz="0" w:space="0" w:color="auto"/>
                <w:left w:val="none" w:sz="0" w:space="0" w:color="auto"/>
                <w:bottom w:val="none" w:sz="0" w:space="0" w:color="auto"/>
                <w:right w:val="none" w:sz="0" w:space="0" w:color="auto"/>
              </w:divBdr>
              <w:divsChild>
                <w:div w:id="14892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5828">
      <w:bodyDiv w:val="1"/>
      <w:marLeft w:val="0"/>
      <w:marRight w:val="0"/>
      <w:marTop w:val="0"/>
      <w:marBottom w:val="0"/>
      <w:divBdr>
        <w:top w:val="none" w:sz="0" w:space="0" w:color="auto"/>
        <w:left w:val="none" w:sz="0" w:space="0" w:color="auto"/>
        <w:bottom w:val="none" w:sz="0" w:space="0" w:color="auto"/>
        <w:right w:val="none" w:sz="0" w:space="0" w:color="auto"/>
      </w:divBdr>
    </w:div>
    <w:div w:id="1082946176">
      <w:bodyDiv w:val="1"/>
      <w:marLeft w:val="0"/>
      <w:marRight w:val="0"/>
      <w:marTop w:val="0"/>
      <w:marBottom w:val="0"/>
      <w:divBdr>
        <w:top w:val="none" w:sz="0" w:space="0" w:color="auto"/>
        <w:left w:val="none" w:sz="0" w:space="0" w:color="auto"/>
        <w:bottom w:val="none" w:sz="0" w:space="0" w:color="auto"/>
        <w:right w:val="none" w:sz="0" w:space="0" w:color="auto"/>
      </w:divBdr>
    </w:div>
    <w:div w:id="1127893974">
      <w:bodyDiv w:val="1"/>
      <w:marLeft w:val="0"/>
      <w:marRight w:val="0"/>
      <w:marTop w:val="0"/>
      <w:marBottom w:val="0"/>
      <w:divBdr>
        <w:top w:val="none" w:sz="0" w:space="0" w:color="auto"/>
        <w:left w:val="none" w:sz="0" w:space="0" w:color="auto"/>
        <w:bottom w:val="none" w:sz="0" w:space="0" w:color="auto"/>
        <w:right w:val="none" w:sz="0" w:space="0" w:color="auto"/>
      </w:divBdr>
    </w:div>
    <w:div w:id="1225339913">
      <w:bodyDiv w:val="1"/>
      <w:marLeft w:val="0"/>
      <w:marRight w:val="0"/>
      <w:marTop w:val="0"/>
      <w:marBottom w:val="0"/>
      <w:divBdr>
        <w:top w:val="none" w:sz="0" w:space="0" w:color="auto"/>
        <w:left w:val="none" w:sz="0" w:space="0" w:color="auto"/>
        <w:bottom w:val="none" w:sz="0" w:space="0" w:color="auto"/>
        <w:right w:val="none" w:sz="0" w:space="0" w:color="auto"/>
      </w:divBdr>
    </w:div>
    <w:div w:id="1533767481">
      <w:bodyDiv w:val="1"/>
      <w:marLeft w:val="0"/>
      <w:marRight w:val="0"/>
      <w:marTop w:val="0"/>
      <w:marBottom w:val="0"/>
      <w:divBdr>
        <w:top w:val="none" w:sz="0" w:space="0" w:color="auto"/>
        <w:left w:val="none" w:sz="0" w:space="0" w:color="auto"/>
        <w:bottom w:val="none" w:sz="0" w:space="0" w:color="auto"/>
        <w:right w:val="none" w:sz="0" w:space="0" w:color="auto"/>
      </w:divBdr>
    </w:div>
    <w:div w:id="1573813402">
      <w:bodyDiv w:val="1"/>
      <w:marLeft w:val="0"/>
      <w:marRight w:val="0"/>
      <w:marTop w:val="0"/>
      <w:marBottom w:val="0"/>
      <w:divBdr>
        <w:top w:val="none" w:sz="0" w:space="0" w:color="auto"/>
        <w:left w:val="none" w:sz="0" w:space="0" w:color="auto"/>
        <w:bottom w:val="none" w:sz="0" w:space="0" w:color="auto"/>
        <w:right w:val="none" w:sz="0" w:space="0" w:color="auto"/>
      </w:divBdr>
    </w:div>
    <w:div w:id="1580284570">
      <w:bodyDiv w:val="1"/>
      <w:marLeft w:val="0"/>
      <w:marRight w:val="0"/>
      <w:marTop w:val="0"/>
      <w:marBottom w:val="0"/>
      <w:divBdr>
        <w:top w:val="none" w:sz="0" w:space="0" w:color="auto"/>
        <w:left w:val="none" w:sz="0" w:space="0" w:color="auto"/>
        <w:bottom w:val="none" w:sz="0" w:space="0" w:color="auto"/>
        <w:right w:val="none" w:sz="0" w:space="0" w:color="auto"/>
      </w:divBdr>
    </w:div>
    <w:div w:id="19694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53E7-B75E-4237-B3F1-5ABA2AE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Quality Assurance Handbook</vt:lpstr>
    </vt:vector>
  </TitlesOfParts>
  <Company>University of Southampton</Company>
  <LinksUpToDate>false</LinksUpToDate>
  <CharactersWithSpaces>17551</CharactersWithSpaces>
  <SharedDoc>false</SharedDoc>
  <HLinks>
    <vt:vector size="6" baseType="variant">
      <vt:variant>
        <vt:i4>7667758</vt:i4>
      </vt:variant>
      <vt:variant>
        <vt:i4>0</vt:i4>
      </vt:variant>
      <vt:variant>
        <vt:i4>0</vt:i4>
      </vt:variant>
      <vt:variant>
        <vt:i4>5</vt:i4>
      </vt:variant>
      <vt:variant>
        <vt:lpwstr>http://www.soton.ac.uk/cip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Handbook</dc:title>
  <dc:creator>Dragana Mladenovic</dc:creator>
  <cp:lastModifiedBy>Dragana Mladenovic</cp:lastModifiedBy>
  <cp:revision>2</cp:revision>
  <cp:lastPrinted>2012-03-02T07:29:00Z</cp:lastPrinted>
  <dcterms:created xsi:type="dcterms:W3CDTF">2013-11-04T15:39:00Z</dcterms:created>
  <dcterms:modified xsi:type="dcterms:W3CDTF">2013-11-04T15:39:00Z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