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3374"/>
        <w:gridCol w:w="2500"/>
        <w:gridCol w:w="3152"/>
      </w:tblGrid>
      <w:tr w:rsidR="003D6F84" w:rsidTr="003D6F84">
        <w:trPr>
          <w:trHeight w:val="4080"/>
          <w:jc w:val="center"/>
        </w:trPr>
        <w:tc>
          <w:tcPr>
            <w:tcW w:w="5881" w:type="dxa"/>
            <w:gridSpan w:val="2"/>
            <w:tcBorders>
              <w:top w:val="nil"/>
              <w:left w:val="nil"/>
              <w:bottom w:val="single" w:sz="8" w:space="0" w:color="FFFFFF"/>
              <w:right w:val="single" w:sz="8" w:space="0" w:color="FFFFFF"/>
            </w:tcBorders>
            <w:tcMar>
              <w:top w:w="0" w:type="dxa"/>
              <w:left w:w="108" w:type="dxa"/>
              <w:bottom w:w="0" w:type="dxa"/>
              <w:right w:w="108" w:type="dxa"/>
            </w:tcMar>
            <w:hideMark/>
          </w:tcPr>
          <w:p w:rsidR="003D6F84" w:rsidRDefault="003D6F84">
            <w:pPr>
              <w:spacing w:line="252" w:lineRule="auto"/>
            </w:pPr>
            <w:r>
              <w:rPr>
                <w:noProof/>
              </w:rPr>
              <w:drawing>
                <wp:anchor distT="0" distB="0" distL="114300" distR="114300" simplePos="0" relativeHeight="251658240" behindDoc="1" locked="0" layoutInCell="1" allowOverlap="1">
                  <wp:simplePos x="0" y="0"/>
                  <wp:positionH relativeFrom="column">
                    <wp:posOffset>-66675</wp:posOffset>
                  </wp:positionH>
                  <wp:positionV relativeFrom="paragraph">
                    <wp:posOffset>0</wp:posOffset>
                  </wp:positionV>
                  <wp:extent cx="5743575" cy="27813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2781300"/>
                          </a:xfrm>
                          <a:prstGeom prst="rect">
                            <a:avLst/>
                          </a:prstGeom>
                          <a:noFill/>
                        </pic:spPr>
                      </pic:pic>
                    </a:graphicData>
                  </a:graphic>
                  <wp14:sizeRelH relativeFrom="page">
                    <wp14:pctWidth>0</wp14:pctWidth>
                  </wp14:sizeRelH>
                  <wp14:sizeRelV relativeFrom="page">
                    <wp14:pctHeight>0</wp14:pctHeight>
                  </wp14:sizeRelV>
                </wp:anchor>
              </w:drawing>
            </w:r>
          </w:p>
        </w:tc>
        <w:tc>
          <w:tcPr>
            <w:tcW w:w="3165" w:type="dxa"/>
            <w:tcBorders>
              <w:top w:val="nil"/>
              <w:left w:val="nil"/>
              <w:bottom w:val="single" w:sz="8" w:space="0" w:color="FFFFFF"/>
              <w:right w:val="nil"/>
            </w:tcBorders>
            <w:tcMar>
              <w:top w:w="0" w:type="dxa"/>
              <w:left w:w="108" w:type="dxa"/>
              <w:bottom w:w="0" w:type="dxa"/>
              <w:right w:w="108" w:type="dxa"/>
            </w:tcMar>
          </w:tcPr>
          <w:p w:rsidR="003D6F84" w:rsidRDefault="003D6F84">
            <w:pPr>
              <w:spacing w:line="252" w:lineRule="auto"/>
              <w:jc w:val="right"/>
            </w:pPr>
            <w:r>
              <w:rPr>
                <w:noProof/>
              </w:rPr>
              <w:drawing>
                <wp:anchor distT="0" distB="0" distL="114300" distR="114300" simplePos="0" relativeHeight="251658240" behindDoc="0" locked="0" layoutInCell="1" allowOverlap="1">
                  <wp:simplePos x="0" y="0"/>
                  <wp:positionH relativeFrom="column">
                    <wp:posOffset>134620</wp:posOffset>
                  </wp:positionH>
                  <wp:positionV relativeFrom="paragraph">
                    <wp:posOffset>95250</wp:posOffset>
                  </wp:positionV>
                  <wp:extent cx="1788795" cy="142875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8795" cy="1428750"/>
                          </a:xfrm>
                          <a:prstGeom prst="rect">
                            <a:avLst/>
                          </a:prstGeom>
                          <a:noFill/>
                        </pic:spPr>
                      </pic:pic>
                    </a:graphicData>
                  </a:graphic>
                  <wp14:sizeRelH relativeFrom="margin">
                    <wp14:pctWidth>0</wp14:pctWidth>
                  </wp14:sizeRelH>
                  <wp14:sizeRelV relativeFrom="margin">
                    <wp14:pctHeight>0</wp14:pctHeight>
                  </wp14:sizeRelV>
                </wp:anchor>
              </w:drawing>
            </w:r>
          </w:p>
          <w:p w:rsidR="003D6F84" w:rsidRDefault="003D6F84">
            <w:pPr>
              <w:spacing w:line="252" w:lineRule="auto"/>
              <w:jc w:val="right"/>
            </w:pPr>
          </w:p>
          <w:p w:rsidR="003D6F84" w:rsidRDefault="003D6F84">
            <w:pPr>
              <w:spacing w:line="252" w:lineRule="auto"/>
              <w:jc w:val="right"/>
            </w:pPr>
            <w:r>
              <w:t xml:space="preserve">          </w:t>
            </w:r>
          </w:p>
          <w:p w:rsidR="003D6F84" w:rsidRDefault="003D6F84">
            <w:pPr>
              <w:spacing w:line="252" w:lineRule="auto"/>
              <w:ind w:right="110"/>
              <w:jc w:val="right"/>
            </w:pPr>
          </w:p>
        </w:tc>
      </w:tr>
      <w:tr w:rsidR="003D6F84" w:rsidTr="003D6F84">
        <w:trPr>
          <w:trHeight w:val="281"/>
          <w:jc w:val="center"/>
        </w:trPr>
        <w:tc>
          <w:tcPr>
            <w:tcW w:w="5881" w:type="dxa"/>
            <w:gridSpan w:val="2"/>
            <w:tcBorders>
              <w:top w:val="nil"/>
              <w:left w:val="nil"/>
              <w:bottom w:val="nil"/>
              <w:right w:val="single" w:sz="8" w:space="0" w:color="FFFFFF"/>
            </w:tcBorders>
            <w:shd w:val="clear" w:color="auto" w:fill="F0AB00"/>
            <w:tcMar>
              <w:top w:w="0" w:type="dxa"/>
              <w:left w:w="108" w:type="dxa"/>
              <w:bottom w:w="0" w:type="dxa"/>
              <w:right w:w="108" w:type="dxa"/>
            </w:tcMar>
            <w:vAlign w:val="center"/>
            <w:hideMark/>
          </w:tcPr>
          <w:p w:rsidR="003D6F84" w:rsidRDefault="003D6F84">
            <w:pPr>
              <w:spacing w:line="252" w:lineRule="auto"/>
              <w:rPr>
                <w:b/>
                <w:bCs/>
              </w:rPr>
            </w:pPr>
            <w:r>
              <w:rPr>
                <w:rFonts w:ascii="Corbel" w:hAnsi="Corbel"/>
                <w:b/>
                <w:bCs/>
                <w:color w:val="FFFFFF"/>
                <w:sz w:val="18"/>
                <w:szCs w:val="18"/>
              </w:rPr>
              <w:t>MARCH  2015 – issue 8</w:t>
            </w:r>
          </w:p>
        </w:tc>
        <w:tc>
          <w:tcPr>
            <w:tcW w:w="3165" w:type="dxa"/>
            <w:shd w:val="clear" w:color="auto" w:fill="F0AB00"/>
            <w:tcMar>
              <w:top w:w="0" w:type="dxa"/>
              <w:left w:w="108" w:type="dxa"/>
              <w:bottom w:w="0" w:type="dxa"/>
              <w:right w:w="108" w:type="dxa"/>
            </w:tcMar>
            <w:vAlign w:val="center"/>
            <w:hideMark/>
          </w:tcPr>
          <w:p w:rsidR="003D6F84" w:rsidRDefault="003D6F84">
            <w:pPr>
              <w:spacing w:line="252" w:lineRule="auto"/>
              <w:rPr>
                <w:color w:val="3E730C"/>
              </w:rPr>
            </w:pPr>
            <w:r>
              <w:rPr>
                <w:rFonts w:ascii="Corbel" w:hAnsi="Corbel"/>
                <w:color w:val="FFFFFF"/>
                <w:sz w:val="18"/>
                <w:szCs w:val="18"/>
              </w:rPr>
              <w:t xml:space="preserve">IN THIS ISSUE  </w:t>
            </w:r>
          </w:p>
        </w:tc>
      </w:tr>
      <w:tr w:rsidR="003D6F84" w:rsidTr="003D6F84">
        <w:trPr>
          <w:trHeight w:val="2759"/>
          <w:jc w:val="center"/>
        </w:trPr>
        <w:tc>
          <w:tcPr>
            <w:tcW w:w="5881" w:type="dxa"/>
            <w:gridSpan w:val="2"/>
          </w:tcPr>
          <w:p w:rsidR="003D6F84" w:rsidRDefault="003D6F84">
            <w:pPr>
              <w:spacing w:line="252" w:lineRule="auto"/>
            </w:pPr>
          </w:p>
          <w:p w:rsidR="003D6F84" w:rsidRDefault="003D6F84">
            <w:pPr>
              <w:spacing w:line="252" w:lineRule="auto"/>
              <w:rPr>
                <w:rFonts w:ascii="Garamond" w:hAnsi="Garamond"/>
                <w:sz w:val="44"/>
                <w:szCs w:val="44"/>
              </w:rPr>
            </w:pPr>
            <w:r>
              <w:rPr>
                <w:rFonts w:ascii="Garamond" w:hAnsi="Garamond"/>
                <w:sz w:val="44"/>
                <w:szCs w:val="44"/>
              </w:rPr>
              <w:t xml:space="preserve">Spring! </w:t>
            </w:r>
          </w:p>
          <w:p w:rsidR="003D6F84" w:rsidRDefault="003D6F84">
            <w:pPr>
              <w:spacing w:line="252" w:lineRule="auto"/>
              <w:rPr>
                <w:rFonts w:ascii="Corbel" w:hAnsi="Corbel"/>
                <w:i/>
                <w:iCs/>
                <w:color w:val="595959"/>
                <w:sz w:val="24"/>
                <w:szCs w:val="24"/>
              </w:rPr>
            </w:pPr>
            <w:r>
              <w:rPr>
                <w:rFonts w:ascii="Corbel" w:hAnsi="Corbel"/>
                <w:i/>
                <w:iCs/>
                <w:color w:val="595959"/>
                <w:sz w:val="24"/>
                <w:szCs w:val="24"/>
              </w:rPr>
              <w:t>Spring has finally arrived and we are busy planning the next phase of implementation for ServiceNow.</w:t>
            </w:r>
          </w:p>
          <w:p w:rsidR="003D6F84" w:rsidRDefault="003D6F84">
            <w:pPr>
              <w:spacing w:line="252" w:lineRule="auto"/>
              <w:rPr>
                <w:rFonts w:ascii="Corbel" w:hAnsi="Corbel"/>
                <w:i/>
                <w:iCs/>
                <w:color w:val="595959"/>
                <w:sz w:val="24"/>
                <w:szCs w:val="24"/>
              </w:rPr>
            </w:pPr>
            <w:r>
              <w:rPr>
                <w:rFonts w:ascii="Corbel" w:hAnsi="Corbel"/>
                <w:i/>
                <w:iCs/>
                <w:color w:val="595959"/>
                <w:sz w:val="24"/>
                <w:szCs w:val="24"/>
              </w:rPr>
              <w:t>We have been meeting up with other Universities that are using ServiceNow and have attended conferences and events to share best practice and to gain an understanding of the latest trends and methods of service delivery.</w:t>
            </w:r>
          </w:p>
          <w:p w:rsidR="003D6F84" w:rsidRDefault="003D6F84">
            <w:pPr>
              <w:spacing w:line="252" w:lineRule="auto"/>
              <w:rPr>
                <w:rFonts w:ascii="Corbel" w:hAnsi="Corbel"/>
                <w:i/>
                <w:iCs/>
                <w:sz w:val="24"/>
                <w:szCs w:val="24"/>
              </w:rPr>
            </w:pPr>
            <w:r>
              <w:rPr>
                <w:rFonts w:ascii="Corbel" w:hAnsi="Corbel"/>
                <w:i/>
                <w:iCs/>
                <w:color w:val="595959"/>
                <w:sz w:val="24"/>
                <w:szCs w:val="24"/>
              </w:rPr>
              <w:t xml:space="preserve">It’s going to be a busy couple of months for the team...  </w:t>
            </w:r>
          </w:p>
        </w:tc>
        <w:tc>
          <w:tcPr>
            <w:tcW w:w="3165" w:type="dxa"/>
            <w:tcMar>
              <w:top w:w="0" w:type="dxa"/>
              <w:left w:w="108" w:type="dxa"/>
              <w:bottom w:w="0" w:type="dxa"/>
              <w:right w:w="108" w:type="dxa"/>
            </w:tcMar>
          </w:tcPr>
          <w:p w:rsidR="003D6F84" w:rsidRDefault="003D6F84">
            <w:pPr>
              <w:spacing w:line="252" w:lineRule="auto"/>
              <w:rPr>
                <w:rFonts w:ascii="Corbel" w:hAnsi="Corbel"/>
                <w:b/>
                <w:bCs/>
                <w:color w:val="9E2216"/>
                <w:sz w:val="18"/>
                <w:szCs w:val="18"/>
              </w:rPr>
            </w:pPr>
          </w:p>
          <w:p w:rsidR="003D6F84" w:rsidRDefault="003D6F84">
            <w:pPr>
              <w:spacing w:line="252" w:lineRule="auto"/>
              <w:rPr>
                <w:rFonts w:ascii="Corbel" w:hAnsi="Corbel"/>
                <w:color w:val="404040"/>
                <w:sz w:val="18"/>
                <w:szCs w:val="18"/>
              </w:rPr>
            </w:pPr>
            <w:r>
              <w:rPr>
                <w:rFonts w:ascii="Corbel" w:hAnsi="Corbel"/>
                <w:b/>
                <w:bCs/>
                <w:color w:val="3E730C"/>
                <w:sz w:val="18"/>
                <w:szCs w:val="18"/>
              </w:rPr>
              <w:t xml:space="preserve">Wessex NETSCC </w:t>
            </w:r>
            <w:r>
              <w:rPr>
                <w:rFonts w:ascii="Corbel" w:hAnsi="Corbel"/>
                <w:color w:val="404040"/>
                <w:sz w:val="18"/>
                <w:szCs w:val="18"/>
              </w:rPr>
              <w:t>– Another department benefiting from ServiceNow.</w:t>
            </w:r>
          </w:p>
          <w:p w:rsidR="003D6F84" w:rsidRDefault="003D6F84">
            <w:pPr>
              <w:spacing w:line="252" w:lineRule="auto"/>
              <w:rPr>
                <w:rFonts w:ascii="Corbel" w:hAnsi="Corbel"/>
                <w:color w:val="404040"/>
                <w:sz w:val="18"/>
                <w:szCs w:val="18"/>
              </w:rPr>
            </w:pPr>
          </w:p>
          <w:p w:rsidR="003D6F84" w:rsidRDefault="003D6F84">
            <w:pPr>
              <w:spacing w:line="252" w:lineRule="auto"/>
              <w:rPr>
                <w:rFonts w:ascii="Corbel" w:hAnsi="Corbel"/>
                <w:color w:val="404040"/>
                <w:sz w:val="18"/>
                <w:szCs w:val="18"/>
              </w:rPr>
            </w:pPr>
            <w:r>
              <w:rPr>
                <w:rFonts w:ascii="Corbel" w:hAnsi="Corbel"/>
                <w:b/>
                <w:bCs/>
                <w:color w:val="3E730C"/>
                <w:sz w:val="18"/>
                <w:szCs w:val="18"/>
              </w:rPr>
              <w:t>Enhancements &amp; improvements</w:t>
            </w:r>
            <w:r>
              <w:rPr>
                <w:rFonts w:ascii="Corbel" w:hAnsi="Corbel"/>
                <w:color w:val="3E730C"/>
                <w:sz w:val="18"/>
                <w:szCs w:val="18"/>
              </w:rPr>
              <w:t> </w:t>
            </w:r>
            <w:r>
              <w:rPr>
                <w:rFonts w:ascii="Corbel" w:hAnsi="Corbel"/>
                <w:color w:val="404040"/>
                <w:sz w:val="18"/>
                <w:szCs w:val="18"/>
              </w:rPr>
              <w:t>– SLA Due Calculation</w:t>
            </w:r>
          </w:p>
          <w:p w:rsidR="003D6F84" w:rsidRDefault="003D6F84">
            <w:pPr>
              <w:spacing w:line="252" w:lineRule="auto"/>
              <w:rPr>
                <w:rFonts w:ascii="Corbel" w:hAnsi="Corbel"/>
                <w:color w:val="404040"/>
                <w:sz w:val="18"/>
                <w:szCs w:val="18"/>
              </w:rPr>
            </w:pPr>
          </w:p>
          <w:p w:rsidR="003D6F84" w:rsidRDefault="003D6F84">
            <w:pPr>
              <w:spacing w:line="252" w:lineRule="auto"/>
              <w:rPr>
                <w:rFonts w:ascii="Corbel" w:hAnsi="Corbel"/>
                <w:color w:val="404040"/>
                <w:sz w:val="18"/>
                <w:szCs w:val="18"/>
              </w:rPr>
            </w:pPr>
            <w:r>
              <w:rPr>
                <w:rFonts w:ascii="Corbel" w:hAnsi="Corbel"/>
                <w:b/>
                <w:bCs/>
                <w:color w:val="3E730C"/>
                <w:sz w:val="18"/>
                <w:szCs w:val="18"/>
              </w:rPr>
              <w:t>Surveys</w:t>
            </w:r>
            <w:r>
              <w:rPr>
                <w:rFonts w:ascii="Corbel" w:hAnsi="Corbel"/>
                <w:b/>
                <w:bCs/>
                <w:color w:val="404040"/>
                <w:sz w:val="18"/>
                <w:szCs w:val="18"/>
              </w:rPr>
              <w:t xml:space="preserve"> – </w:t>
            </w:r>
            <w:r>
              <w:rPr>
                <w:rFonts w:ascii="Corbel" w:hAnsi="Corbel"/>
                <w:color w:val="404040"/>
                <w:sz w:val="18"/>
                <w:szCs w:val="18"/>
              </w:rPr>
              <w:t>Finding out what users think of our services.</w:t>
            </w:r>
          </w:p>
          <w:p w:rsidR="003D6F84" w:rsidRDefault="003D6F84">
            <w:pPr>
              <w:spacing w:after="240" w:line="252" w:lineRule="auto"/>
              <w:rPr>
                <w:rFonts w:ascii="Corbel" w:hAnsi="Corbel"/>
              </w:rPr>
            </w:pPr>
          </w:p>
        </w:tc>
      </w:tr>
      <w:tr w:rsidR="003D6F84" w:rsidTr="003D6F84">
        <w:trPr>
          <w:trHeight w:val="20"/>
          <w:jc w:val="center"/>
        </w:trPr>
        <w:tc>
          <w:tcPr>
            <w:tcW w:w="9046" w:type="dxa"/>
            <w:gridSpan w:val="3"/>
            <w:shd w:val="clear" w:color="auto" w:fill="FFFFFF"/>
            <w:tcMar>
              <w:top w:w="0" w:type="dxa"/>
              <w:left w:w="108" w:type="dxa"/>
              <w:bottom w:w="0" w:type="dxa"/>
              <w:right w:w="108" w:type="dxa"/>
            </w:tcMar>
            <w:hideMark/>
          </w:tcPr>
          <w:p w:rsidR="003D6F84" w:rsidRDefault="003D6F84">
            <w:pPr>
              <w:pStyle w:val="MainTextCorbel"/>
              <w:spacing w:after="0" w:line="252" w:lineRule="auto"/>
              <w:rPr>
                <w:sz w:val="24"/>
                <w:szCs w:val="24"/>
              </w:rPr>
            </w:pPr>
            <w:r>
              <w:rPr>
                <w:sz w:val="24"/>
                <w:szCs w:val="24"/>
              </w:rPr>
              <w:t xml:space="preserve">             </w:t>
            </w:r>
          </w:p>
        </w:tc>
      </w:tr>
      <w:tr w:rsidR="003D6F84" w:rsidTr="003D6F84">
        <w:trPr>
          <w:trHeight w:val="20"/>
          <w:jc w:val="center"/>
        </w:trPr>
        <w:tc>
          <w:tcPr>
            <w:tcW w:w="9046" w:type="dxa"/>
            <w:gridSpan w:val="3"/>
            <w:shd w:val="clear" w:color="auto" w:fill="9E2216"/>
            <w:tcMar>
              <w:top w:w="0" w:type="dxa"/>
              <w:left w:w="108" w:type="dxa"/>
              <w:bottom w:w="0" w:type="dxa"/>
              <w:right w:w="108" w:type="dxa"/>
            </w:tcMar>
            <w:hideMark/>
          </w:tcPr>
          <w:p w:rsidR="003D6F84" w:rsidRDefault="003D6F84">
            <w:pPr>
              <w:pStyle w:val="MainTextCorbel"/>
              <w:spacing w:after="0" w:line="252" w:lineRule="auto"/>
              <w:rPr>
                <w:sz w:val="24"/>
                <w:szCs w:val="24"/>
              </w:rPr>
            </w:pPr>
            <w:r>
              <w:rPr>
                <w:sz w:val="24"/>
                <w:szCs w:val="24"/>
              </w:rPr>
              <w:t>            </w:t>
            </w:r>
          </w:p>
        </w:tc>
      </w:tr>
      <w:tr w:rsidR="003D6F84" w:rsidTr="003D6F84">
        <w:trPr>
          <w:trHeight w:val="20"/>
          <w:jc w:val="center"/>
        </w:trPr>
        <w:tc>
          <w:tcPr>
            <w:tcW w:w="9046" w:type="dxa"/>
            <w:gridSpan w:val="3"/>
            <w:shd w:val="clear" w:color="auto" w:fill="FFFFFF"/>
            <w:tcMar>
              <w:top w:w="0" w:type="dxa"/>
              <w:left w:w="108" w:type="dxa"/>
              <w:bottom w:w="0" w:type="dxa"/>
              <w:right w:w="108" w:type="dxa"/>
            </w:tcMar>
            <w:hideMark/>
          </w:tcPr>
          <w:p w:rsidR="003D6F84" w:rsidRDefault="003D6F84">
            <w:pPr>
              <w:pStyle w:val="MainTextCorbel"/>
              <w:spacing w:after="0" w:line="252" w:lineRule="auto"/>
              <w:rPr>
                <w:sz w:val="24"/>
                <w:szCs w:val="24"/>
              </w:rPr>
            </w:pPr>
            <w:r>
              <w:rPr>
                <w:sz w:val="24"/>
                <w:szCs w:val="24"/>
              </w:rPr>
              <w:t>              </w:t>
            </w:r>
          </w:p>
        </w:tc>
      </w:tr>
      <w:tr w:rsidR="003D6F84" w:rsidTr="003D6F84">
        <w:trPr>
          <w:trHeight w:val="20"/>
          <w:jc w:val="center"/>
        </w:trPr>
        <w:tc>
          <w:tcPr>
            <w:tcW w:w="3360" w:type="dxa"/>
          </w:tcPr>
          <w:p w:rsidR="003D6F84" w:rsidRDefault="003D6F84">
            <w:pPr>
              <w:pStyle w:val="MainTextCorbel"/>
              <w:spacing w:after="0" w:line="252" w:lineRule="auto"/>
              <w:rPr>
                <w:rStyle w:val="TitleGeorgiaChar"/>
                <w:color w:val="F0AB00"/>
                <w:sz w:val="44"/>
                <w:szCs w:val="44"/>
              </w:rPr>
            </w:pPr>
            <w:r>
              <w:rPr>
                <w:rStyle w:val="TitleGeorgiaChar"/>
                <w:color w:val="9E2216"/>
                <w:sz w:val="44"/>
                <w:szCs w:val="44"/>
              </w:rPr>
              <w:t>Wessex NETSCC</w:t>
            </w:r>
          </w:p>
          <w:p w:rsidR="003D6F84" w:rsidRDefault="003D6F84">
            <w:pPr>
              <w:pStyle w:val="MainTextCorbel"/>
              <w:spacing w:after="0" w:line="252" w:lineRule="auto"/>
              <w:rPr>
                <w:sz w:val="24"/>
                <w:szCs w:val="24"/>
              </w:rPr>
            </w:pPr>
          </w:p>
          <w:p w:rsidR="003D6F84" w:rsidRDefault="003D6F84">
            <w:pPr>
              <w:pStyle w:val="MainTextCorbel"/>
              <w:spacing w:after="0" w:line="252" w:lineRule="auto"/>
              <w:rPr>
                <w:rStyle w:val="IntroParagraphChar"/>
                <w:color w:val="A0A0A0"/>
                <w:sz w:val="28"/>
                <w:szCs w:val="28"/>
              </w:rPr>
            </w:pPr>
            <w:r>
              <w:rPr>
                <w:rStyle w:val="IntroParagraphChar"/>
                <w:color w:val="A0A0A0"/>
                <w:sz w:val="28"/>
                <w:szCs w:val="28"/>
              </w:rPr>
              <w:t xml:space="preserve">Another department will soon benefit from ServiceNow. </w:t>
            </w:r>
          </w:p>
          <w:p w:rsidR="003D6F84" w:rsidRDefault="003D6F84">
            <w:pPr>
              <w:pStyle w:val="MainTextCorbel"/>
              <w:spacing w:after="0" w:line="252" w:lineRule="auto"/>
              <w:rPr>
                <w:sz w:val="24"/>
                <w:szCs w:val="24"/>
              </w:rPr>
            </w:pPr>
          </w:p>
          <w:p w:rsidR="003D6F84" w:rsidRDefault="003D6F84">
            <w:pPr>
              <w:pStyle w:val="MainTextCorbel"/>
              <w:spacing w:after="0" w:line="252" w:lineRule="auto"/>
              <w:rPr>
                <w:sz w:val="24"/>
                <w:szCs w:val="24"/>
              </w:rPr>
            </w:pPr>
          </w:p>
          <w:p w:rsidR="003D6F84" w:rsidRDefault="003D6F84">
            <w:pPr>
              <w:pStyle w:val="MainTextCorbel"/>
              <w:spacing w:after="0" w:line="252" w:lineRule="auto"/>
              <w:rPr>
                <w:sz w:val="24"/>
                <w:szCs w:val="24"/>
              </w:rPr>
            </w:pPr>
            <w:r>
              <w:rPr>
                <w:noProof/>
                <w:sz w:val="20"/>
                <w:szCs w:val="20"/>
              </w:rPr>
              <w:drawing>
                <wp:anchor distT="0" distB="0" distL="114300" distR="114300" simplePos="0" relativeHeight="251658240" behindDoc="1" locked="0" layoutInCell="1" allowOverlap="1">
                  <wp:simplePos x="0" y="0"/>
                  <wp:positionH relativeFrom="column">
                    <wp:posOffset>19050</wp:posOffset>
                  </wp:positionH>
                  <wp:positionV relativeFrom="paragraph">
                    <wp:posOffset>98425</wp:posOffset>
                  </wp:positionV>
                  <wp:extent cx="2105025" cy="109347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5025" cy="1093470"/>
                          </a:xfrm>
                          <a:prstGeom prst="rect">
                            <a:avLst/>
                          </a:prstGeom>
                          <a:noFill/>
                        </pic:spPr>
                      </pic:pic>
                    </a:graphicData>
                  </a:graphic>
                  <wp14:sizeRelH relativeFrom="page">
                    <wp14:pctWidth>0</wp14:pctWidth>
                  </wp14:sizeRelH>
                  <wp14:sizeRelV relativeFrom="page">
                    <wp14:pctHeight>0</wp14:pctHeight>
                  </wp14:sizeRelV>
                </wp:anchor>
              </w:drawing>
            </w:r>
          </w:p>
        </w:tc>
        <w:tc>
          <w:tcPr>
            <w:tcW w:w="5686" w:type="dxa"/>
            <w:gridSpan w:val="2"/>
            <w:shd w:val="clear" w:color="auto" w:fill="FFFFFF"/>
            <w:tcMar>
              <w:top w:w="57" w:type="dxa"/>
              <w:left w:w="227" w:type="dxa"/>
              <w:bottom w:w="57" w:type="dxa"/>
              <w:right w:w="57" w:type="dxa"/>
            </w:tcMar>
            <w:hideMark/>
          </w:tcPr>
          <w:p w:rsidR="003D6F84" w:rsidRDefault="003D6F84">
            <w:pPr>
              <w:pStyle w:val="Subtitle2"/>
              <w:spacing w:after="0" w:line="240" w:lineRule="auto"/>
              <w:rPr>
                <w:color w:val="404040"/>
              </w:rPr>
            </w:pPr>
            <w:r>
              <w:rPr>
                <w:color w:val="404040"/>
              </w:rPr>
              <w:t>Integrating NETSCC in ServiceNow</w:t>
            </w:r>
          </w:p>
          <w:p w:rsidR="003D6F84" w:rsidRDefault="003D6F84">
            <w:pPr>
              <w:pStyle w:val="MainTextCorbel"/>
              <w:spacing w:line="252" w:lineRule="auto"/>
              <w:rPr>
                <w:color w:val="404040"/>
                <w:sz w:val="20"/>
                <w:szCs w:val="20"/>
              </w:rPr>
            </w:pPr>
            <w:r>
              <w:rPr>
                <w:color w:val="404040"/>
              </w:rPr>
              <w:t xml:space="preserve">As many readers of this newsletter already know ServiceNow is far from being a simple IT ticketing tool. In fact, it is an Enterprise Service Platform, offering a variety of solutions to different departments. At the University of Southampton, we have taken this idea and have implemented to three important departments – IT, HR and Finance. </w:t>
            </w:r>
          </w:p>
          <w:p w:rsidR="003D6F84" w:rsidRDefault="003D6F84">
            <w:pPr>
              <w:pStyle w:val="MainTextCorbel"/>
              <w:spacing w:line="252" w:lineRule="auto"/>
              <w:rPr>
                <w:color w:val="404040"/>
              </w:rPr>
            </w:pPr>
            <w:r>
              <w:rPr>
                <w:color w:val="404040"/>
              </w:rPr>
              <w:t>Now, we are expanding the services to NETSCC. For those who don’t know, NETSCC is part of the Wessex Institute, and has been contracted by the Department of Health to manage evaluation research programmes and activities, primarily as part of the research work strand of the National Institute for Health Research (NIHR).</w:t>
            </w:r>
          </w:p>
          <w:p w:rsidR="003D6F84" w:rsidRDefault="003D6F84">
            <w:pPr>
              <w:pStyle w:val="MainTextCorbel"/>
              <w:spacing w:line="252" w:lineRule="auto"/>
              <w:rPr>
                <w:sz w:val="28"/>
                <w:szCs w:val="28"/>
              </w:rPr>
            </w:pPr>
            <w:r>
              <w:rPr>
                <w:color w:val="404040"/>
              </w:rPr>
              <w:t>In the past, NETSCC had one IT resource located at their premises, however this is no longer the case. Incorporating ServiceNow will help the department to manage contracts with their own suppliers.</w:t>
            </w:r>
          </w:p>
        </w:tc>
      </w:tr>
      <w:tr w:rsidR="003D6F84" w:rsidTr="003D6F84">
        <w:trPr>
          <w:trHeight w:val="20"/>
          <w:jc w:val="center"/>
        </w:trPr>
        <w:tc>
          <w:tcPr>
            <w:tcW w:w="9046" w:type="dxa"/>
            <w:gridSpan w:val="3"/>
            <w:shd w:val="clear" w:color="auto" w:fill="FFFFFF"/>
            <w:tcMar>
              <w:top w:w="0" w:type="dxa"/>
              <w:left w:w="108" w:type="dxa"/>
              <w:bottom w:w="0" w:type="dxa"/>
              <w:right w:w="108" w:type="dxa"/>
            </w:tcMar>
            <w:hideMark/>
          </w:tcPr>
          <w:p w:rsidR="003D6F84" w:rsidRDefault="003D6F84">
            <w:pPr>
              <w:pStyle w:val="MainTextCorbel"/>
              <w:spacing w:after="0" w:line="252" w:lineRule="auto"/>
              <w:rPr>
                <w:sz w:val="24"/>
                <w:szCs w:val="24"/>
              </w:rPr>
            </w:pPr>
            <w:r>
              <w:rPr>
                <w:sz w:val="24"/>
                <w:szCs w:val="24"/>
              </w:rPr>
              <w:lastRenderedPageBreak/>
              <w:t xml:space="preserve">             </w:t>
            </w:r>
          </w:p>
        </w:tc>
      </w:tr>
      <w:tr w:rsidR="003D6F84" w:rsidTr="003D6F84">
        <w:trPr>
          <w:trHeight w:val="20"/>
          <w:jc w:val="center"/>
        </w:trPr>
        <w:tc>
          <w:tcPr>
            <w:tcW w:w="9046" w:type="dxa"/>
            <w:gridSpan w:val="3"/>
            <w:shd w:val="clear" w:color="auto" w:fill="007C92"/>
            <w:tcMar>
              <w:top w:w="0" w:type="dxa"/>
              <w:left w:w="108" w:type="dxa"/>
              <w:bottom w:w="0" w:type="dxa"/>
              <w:right w:w="108" w:type="dxa"/>
            </w:tcMar>
            <w:hideMark/>
          </w:tcPr>
          <w:p w:rsidR="003D6F84" w:rsidRDefault="003D6F84">
            <w:pPr>
              <w:pStyle w:val="MainTextCorbel"/>
              <w:spacing w:after="0" w:line="252" w:lineRule="auto"/>
              <w:rPr>
                <w:sz w:val="24"/>
                <w:szCs w:val="24"/>
              </w:rPr>
            </w:pPr>
            <w:r>
              <w:rPr>
                <w:sz w:val="24"/>
                <w:szCs w:val="24"/>
              </w:rPr>
              <w:t>                </w:t>
            </w:r>
          </w:p>
        </w:tc>
      </w:tr>
      <w:tr w:rsidR="003D6F84" w:rsidTr="003D6F84">
        <w:trPr>
          <w:trHeight w:val="20"/>
          <w:jc w:val="center"/>
        </w:trPr>
        <w:tc>
          <w:tcPr>
            <w:tcW w:w="9046" w:type="dxa"/>
            <w:gridSpan w:val="3"/>
            <w:shd w:val="clear" w:color="auto" w:fill="FFFFFF"/>
            <w:tcMar>
              <w:top w:w="0" w:type="dxa"/>
              <w:left w:w="108" w:type="dxa"/>
              <w:bottom w:w="0" w:type="dxa"/>
              <w:right w:w="108" w:type="dxa"/>
            </w:tcMar>
            <w:hideMark/>
          </w:tcPr>
          <w:p w:rsidR="003D6F84" w:rsidRDefault="003D6F84">
            <w:pPr>
              <w:pStyle w:val="MainTextCorbel"/>
              <w:spacing w:after="0" w:line="252" w:lineRule="auto"/>
              <w:rPr>
                <w:sz w:val="24"/>
                <w:szCs w:val="24"/>
              </w:rPr>
            </w:pPr>
            <w:r>
              <w:rPr>
                <w:sz w:val="24"/>
                <w:szCs w:val="24"/>
              </w:rPr>
              <w:t>             </w:t>
            </w:r>
          </w:p>
        </w:tc>
      </w:tr>
      <w:tr w:rsidR="003D6F84" w:rsidTr="003D6F84">
        <w:trPr>
          <w:trHeight w:val="20"/>
          <w:jc w:val="center"/>
        </w:trPr>
        <w:tc>
          <w:tcPr>
            <w:tcW w:w="3360" w:type="dxa"/>
          </w:tcPr>
          <w:p w:rsidR="003D6F84" w:rsidRDefault="003D6F84">
            <w:pPr>
              <w:pStyle w:val="MainTextCorbel"/>
              <w:spacing w:after="0" w:line="252" w:lineRule="auto"/>
              <w:rPr>
                <w:rStyle w:val="TitleGeorgiaChar"/>
                <w:sz w:val="44"/>
                <w:szCs w:val="44"/>
              </w:rPr>
            </w:pPr>
            <w:r>
              <w:rPr>
                <w:rStyle w:val="TitleGeorgiaChar"/>
                <w:sz w:val="44"/>
                <w:szCs w:val="44"/>
              </w:rPr>
              <w:t>Enhancements &amp; improvements</w:t>
            </w:r>
          </w:p>
          <w:p w:rsidR="003D6F84" w:rsidRDefault="003D6F84">
            <w:pPr>
              <w:pStyle w:val="MainTextCorbel"/>
              <w:spacing w:after="0" w:line="252" w:lineRule="auto"/>
              <w:rPr>
                <w:rStyle w:val="TitleGeorgiaChar"/>
                <w:sz w:val="44"/>
                <w:szCs w:val="44"/>
              </w:rPr>
            </w:pPr>
            <w:r>
              <w:rPr>
                <w:rStyle w:val="IntroParagraphChar"/>
                <w:color w:val="A0A0A0"/>
                <w:sz w:val="28"/>
                <w:szCs w:val="28"/>
              </w:rPr>
              <w:t>.</w:t>
            </w:r>
          </w:p>
          <w:p w:rsidR="003D6F84" w:rsidRDefault="003D6F84">
            <w:pPr>
              <w:pStyle w:val="MainTextCorbel"/>
              <w:spacing w:after="0" w:line="252" w:lineRule="auto"/>
              <w:rPr>
                <w:sz w:val="24"/>
                <w:szCs w:val="24"/>
              </w:rPr>
            </w:pPr>
          </w:p>
        </w:tc>
        <w:tc>
          <w:tcPr>
            <w:tcW w:w="5686" w:type="dxa"/>
            <w:gridSpan w:val="2"/>
            <w:tcMar>
              <w:top w:w="57" w:type="dxa"/>
              <w:left w:w="227" w:type="dxa"/>
              <w:bottom w:w="57" w:type="dxa"/>
              <w:right w:w="0" w:type="dxa"/>
            </w:tcMar>
          </w:tcPr>
          <w:p w:rsidR="003D6F84" w:rsidRDefault="003D6F84">
            <w:pPr>
              <w:pStyle w:val="MainTextCorbel"/>
              <w:spacing w:after="0" w:line="252" w:lineRule="auto"/>
              <w:rPr>
                <w:color w:val="404040"/>
              </w:rPr>
            </w:pPr>
            <w:r>
              <w:rPr>
                <w:rFonts w:ascii="Georgia" w:hAnsi="Georgia"/>
                <w:i/>
                <w:iCs/>
                <w:color w:val="404040"/>
                <w:u w:val="single"/>
              </w:rPr>
              <w:t>SLA Due Calculation</w:t>
            </w:r>
          </w:p>
          <w:p w:rsidR="003D6F84" w:rsidRDefault="003D6F84">
            <w:pPr>
              <w:pStyle w:val="MainTextCorbel"/>
              <w:spacing w:after="0" w:line="252" w:lineRule="auto"/>
              <w:rPr>
                <w:color w:val="404040"/>
                <w:sz w:val="20"/>
                <w:szCs w:val="20"/>
              </w:rPr>
            </w:pPr>
            <w:r>
              <w:rPr>
                <w:color w:val="404040"/>
              </w:rPr>
              <w:t>We’re currently aware of an issue with the way the SLA Due field is being calculated on some tickets - the SLA Due can show as a date before the ticket was logged. The issue is only affecting tickets that have ‘breached’. Conversely, active ‘unbreached’ tickets will show the correct SLA Due date.  Please note, this field is purely a reference field.  The actual SLAs attached to the ticket remain unchanged, and to see the correct SLA end date on a breached ticket, look at the Planned End Time in the Task SLA section at the bottom of the ticket.  We have discovered the cause of this issue and have a fix in place in the Development version of the system that we are testing.  It should be in the Live system shortly.</w:t>
            </w:r>
          </w:p>
          <w:p w:rsidR="003D6F84" w:rsidRDefault="003D6F84">
            <w:pPr>
              <w:pStyle w:val="MainTextCorbel"/>
              <w:spacing w:after="0" w:line="252" w:lineRule="auto"/>
              <w:rPr>
                <w:sz w:val="24"/>
                <w:szCs w:val="24"/>
              </w:rPr>
            </w:pPr>
          </w:p>
        </w:tc>
      </w:tr>
      <w:tr w:rsidR="003D6F84" w:rsidTr="003D6F84">
        <w:trPr>
          <w:trHeight w:val="80"/>
          <w:jc w:val="center"/>
        </w:trPr>
        <w:tc>
          <w:tcPr>
            <w:tcW w:w="9046" w:type="dxa"/>
            <w:gridSpan w:val="3"/>
            <w:shd w:val="clear" w:color="auto" w:fill="FFFFFF"/>
            <w:tcMar>
              <w:top w:w="0" w:type="dxa"/>
              <w:left w:w="108" w:type="dxa"/>
              <w:bottom w:w="0" w:type="dxa"/>
              <w:right w:w="108" w:type="dxa"/>
            </w:tcMar>
            <w:hideMark/>
          </w:tcPr>
          <w:p w:rsidR="003D6F84" w:rsidRDefault="003D6F84">
            <w:pPr>
              <w:pStyle w:val="MainTextCorbel"/>
              <w:spacing w:after="0" w:line="252" w:lineRule="auto"/>
              <w:rPr>
                <w:color w:val="auto"/>
                <w:sz w:val="8"/>
                <w:szCs w:val="8"/>
              </w:rPr>
            </w:pPr>
            <w:r>
              <w:rPr>
                <w:sz w:val="24"/>
                <w:szCs w:val="24"/>
              </w:rPr>
              <w:t xml:space="preserve">             </w:t>
            </w:r>
          </w:p>
        </w:tc>
      </w:tr>
      <w:tr w:rsidR="003D6F84" w:rsidTr="003D6F84">
        <w:trPr>
          <w:trHeight w:val="80"/>
          <w:jc w:val="center"/>
        </w:trPr>
        <w:tc>
          <w:tcPr>
            <w:tcW w:w="9046" w:type="dxa"/>
            <w:gridSpan w:val="3"/>
            <w:shd w:val="clear" w:color="auto" w:fill="F0AB00"/>
            <w:tcMar>
              <w:top w:w="0" w:type="dxa"/>
              <w:left w:w="108" w:type="dxa"/>
              <w:bottom w:w="0" w:type="dxa"/>
              <w:right w:w="108" w:type="dxa"/>
            </w:tcMar>
            <w:hideMark/>
          </w:tcPr>
          <w:p w:rsidR="003D6F84" w:rsidRDefault="003D6F84">
            <w:pPr>
              <w:pStyle w:val="MainTextCorbel"/>
              <w:spacing w:after="0" w:line="252" w:lineRule="auto"/>
              <w:rPr>
                <w:b/>
                <w:bCs/>
                <w:sz w:val="24"/>
                <w:szCs w:val="24"/>
              </w:rPr>
            </w:pPr>
            <w:r>
              <w:rPr>
                <w:sz w:val="24"/>
                <w:szCs w:val="24"/>
              </w:rPr>
              <w:t>             </w:t>
            </w:r>
          </w:p>
        </w:tc>
      </w:tr>
      <w:tr w:rsidR="003D6F84" w:rsidTr="003D6F84">
        <w:trPr>
          <w:trHeight w:val="80"/>
          <w:jc w:val="center"/>
        </w:trPr>
        <w:tc>
          <w:tcPr>
            <w:tcW w:w="9046" w:type="dxa"/>
            <w:gridSpan w:val="3"/>
            <w:shd w:val="clear" w:color="auto" w:fill="FFFFFF"/>
            <w:tcMar>
              <w:top w:w="0" w:type="dxa"/>
              <w:left w:w="108" w:type="dxa"/>
              <w:bottom w:w="0" w:type="dxa"/>
              <w:right w:w="108" w:type="dxa"/>
            </w:tcMar>
            <w:hideMark/>
          </w:tcPr>
          <w:p w:rsidR="003D6F84" w:rsidRDefault="003D6F84">
            <w:pPr>
              <w:pStyle w:val="MainTextCorbel"/>
              <w:spacing w:after="0" w:line="252" w:lineRule="auto"/>
              <w:rPr>
                <w:sz w:val="24"/>
                <w:szCs w:val="24"/>
              </w:rPr>
            </w:pPr>
            <w:r>
              <w:rPr>
                <w:sz w:val="24"/>
                <w:szCs w:val="24"/>
              </w:rPr>
              <w:t>             </w:t>
            </w:r>
          </w:p>
        </w:tc>
      </w:tr>
      <w:tr w:rsidR="003D6F84" w:rsidTr="003D6F84">
        <w:trPr>
          <w:trHeight w:val="80"/>
          <w:jc w:val="center"/>
        </w:trPr>
        <w:tc>
          <w:tcPr>
            <w:tcW w:w="9046" w:type="dxa"/>
            <w:gridSpan w:val="3"/>
            <w:shd w:val="clear" w:color="auto" w:fill="FFFFFF"/>
            <w:hideMark/>
          </w:tcPr>
          <w:p w:rsidR="003D6F84" w:rsidRDefault="003D6F84">
            <w:pPr>
              <w:spacing w:line="252" w:lineRule="auto"/>
              <w:rPr>
                <w:rStyle w:val="IntroParagraphChar"/>
                <w:rFonts w:ascii="Corbel" w:hAnsi="Corbel"/>
                <w:color w:val="000000"/>
                <w:sz w:val="28"/>
                <w:szCs w:val="28"/>
              </w:rPr>
            </w:pPr>
            <w:r>
              <w:rPr>
                <w:noProof/>
              </w:rPr>
              <w:drawing>
                <wp:anchor distT="0" distB="0" distL="114300" distR="114300" simplePos="0" relativeHeight="251658240" behindDoc="1" locked="0" layoutInCell="1" allowOverlap="1" wp14:anchorId="19CF59BF" wp14:editId="42B2A3D1">
                  <wp:simplePos x="0" y="0"/>
                  <wp:positionH relativeFrom="column">
                    <wp:posOffset>24130</wp:posOffset>
                  </wp:positionH>
                  <wp:positionV relativeFrom="paragraph">
                    <wp:posOffset>337185</wp:posOffset>
                  </wp:positionV>
                  <wp:extent cx="1988185" cy="45948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8185" cy="4594860"/>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hAnsi="Georgia"/>
                <w:b/>
                <w:bCs/>
                <w:color w:val="F0AB00"/>
                <w:sz w:val="44"/>
                <w:szCs w:val="44"/>
              </w:rPr>
              <w:t xml:space="preserve">Feature area: </w:t>
            </w:r>
            <w:r>
              <w:rPr>
                <w:rFonts w:ascii="Georgia" w:hAnsi="Georgia"/>
                <w:color w:val="F0AB00"/>
                <w:sz w:val="44"/>
                <w:szCs w:val="44"/>
              </w:rPr>
              <w:t>Surveys</w:t>
            </w:r>
            <w:r>
              <w:rPr>
                <w:rFonts w:ascii="Georgia" w:hAnsi="Georgia"/>
                <w:b/>
                <w:bCs/>
                <w:color w:val="F0AB00"/>
                <w:sz w:val="44"/>
                <w:szCs w:val="44"/>
              </w:rPr>
              <w:t xml:space="preserve"> </w:t>
            </w:r>
            <w:r>
              <w:rPr>
                <w:rFonts w:ascii="Georgia" w:hAnsi="Georgia"/>
                <w:color w:val="00B0F0"/>
                <w:sz w:val="44"/>
                <w:szCs w:val="44"/>
              </w:rPr>
              <w:br/>
            </w:r>
            <w:r>
              <w:rPr>
                <w:rStyle w:val="IntroParagraphChar"/>
                <w:rFonts w:ascii="Corbel" w:hAnsi="Corbel"/>
                <w:color w:val="A0A0A0"/>
                <w:sz w:val="28"/>
                <w:szCs w:val="28"/>
              </w:rPr>
              <w:t>Finding out what customers think of iSolutions services.</w:t>
            </w:r>
            <w:r>
              <w:rPr>
                <w:rFonts w:ascii="Corbel" w:hAnsi="Corbel"/>
                <w:color w:val="A0A0A0"/>
              </w:rPr>
              <w:t xml:space="preserve"> </w:t>
            </w:r>
          </w:p>
          <w:p w:rsidR="003D6F84" w:rsidRDefault="003D6F84">
            <w:pPr>
              <w:pStyle w:val="MainTextCorbel"/>
              <w:spacing w:after="0" w:line="252" w:lineRule="auto"/>
              <w:rPr>
                <w:sz w:val="20"/>
                <w:szCs w:val="20"/>
              </w:rPr>
            </w:pPr>
            <w:r>
              <w:t> </w:t>
            </w:r>
          </w:p>
        </w:tc>
      </w:tr>
      <w:tr w:rsidR="003D6F84" w:rsidTr="003D6F84">
        <w:trPr>
          <w:trHeight w:val="80"/>
          <w:jc w:val="center"/>
        </w:trPr>
        <w:tc>
          <w:tcPr>
            <w:tcW w:w="3360" w:type="dxa"/>
            <w:tcMar>
              <w:top w:w="0" w:type="dxa"/>
              <w:left w:w="108" w:type="dxa"/>
              <w:bottom w:w="0" w:type="dxa"/>
              <w:right w:w="108" w:type="dxa"/>
            </w:tcMar>
            <w:hideMark/>
          </w:tcPr>
          <w:p w:rsidR="003D6F84" w:rsidRDefault="003D6F84">
            <w:pPr>
              <w:pStyle w:val="MainTextCorbel"/>
              <w:spacing w:after="0" w:line="252" w:lineRule="auto"/>
              <w:rPr>
                <w:sz w:val="24"/>
                <w:szCs w:val="24"/>
              </w:rPr>
            </w:pPr>
            <w:r>
              <w:rPr>
                <w:sz w:val="24"/>
                <w:szCs w:val="24"/>
              </w:rPr>
              <w:t>   </w:t>
            </w:r>
          </w:p>
        </w:tc>
        <w:tc>
          <w:tcPr>
            <w:tcW w:w="5686" w:type="dxa"/>
            <w:gridSpan w:val="2"/>
            <w:shd w:val="clear" w:color="auto" w:fill="FFFFFF"/>
            <w:tcMar>
              <w:top w:w="57" w:type="dxa"/>
              <w:left w:w="227" w:type="dxa"/>
              <w:bottom w:w="57" w:type="dxa"/>
              <w:right w:w="0" w:type="dxa"/>
            </w:tcMar>
          </w:tcPr>
          <w:p w:rsidR="003D6F84" w:rsidRDefault="003D6F84">
            <w:pPr>
              <w:pStyle w:val="MainTextCorbel"/>
              <w:spacing w:after="0" w:line="252" w:lineRule="auto"/>
              <w:rPr>
                <w:color w:val="404040"/>
              </w:rPr>
            </w:pPr>
            <w:r>
              <w:rPr>
                <w:color w:val="404040"/>
              </w:rPr>
              <w:t>The iSolutions Customer Feedback survey is being used to help improve our service through gaining an understanding on how our end users perceive the service we deliver, including feedback on approach, timeliness, and frequency and quality of communications.  The Service Management Team aims to circulate relevant feedback, both good and bad, to team leads to identify areas of improvement and celebrate successes.</w:t>
            </w:r>
          </w:p>
          <w:p w:rsidR="003D6F84" w:rsidRDefault="003D6F84">
            <w:pPr>
              <w:pStyle w:val="MainTextCorbel"/>
              <w:spacing w:after="0" w:line="252" w:lineRule="auto"/>
              <w:rPr>
                <w:color w:val="404040"/>
                <w:sz w:val="20"/>
                <w:szCs w:val="20"/>
              </w:rPr>
            </w:pPr>
          </w:p>
          <w:p w:rsidR="003D6F84" w:rsidRDefault="003D6F84">
            <w:pPr>
              <w:pStyle w:val="MainTextCorbel"/>
              <w:spacing w:after="0" w:line="252" w:lineRule="auto"/>
              <w:rPr>
                <w:color w:val="404040"/>
              </w:rPr>
            </w:pPr>
            <w:r>
              <w:rPr>
                <w:color w:val="404040"/>
              </w:rPr>
              <w:t>When a ticket is resolved, an automatic confirmation email message is sent to users. The email has a link to the survey and invites them to give their opinion.</w:t>
            </w:r>
          </w:p>
          <w:p w:rsidR="003D6F84" w:rsidRDefault="003D6F84">
            <w:pPr>
              <w:pStyle w:val="MainTextCorbel"/>
              <w:spacing w:after="0" w:line="252" w:lineRule="auto"/>
              <w:rPr>
                <w:color w:val="404040"/>
              </w:rPr>
            </w:pPr>
          </w:p>
          <w:p w:rsidR="003D6F84" w:rsidRDefault="003D6F84">
            <w:pPr>
              <w:pStyle w:val="MainTextCorbel"/>
              <w:spacing w:after="0" w:line="252" w:lineRule="auto"/>
              <w:rPr>
                <w:color w:val="404040"/>
              </w:rPr>
            </w:pPr>
            <w:r>
              <w:rPr>
                <w:color w:val="404040"/>
              </w:rPr>
              <w:t>In the past, completing the survey could be perceived as a laborious task. Apart from answering the usual questions, users had to fill in ticket details, such as ticket number and the name of the team &amp; technician who worked on it. These fields were drop-down lists with prepopulated data, which often out-of-date. Another confusing issue was that users would not necessarily know or remember names.</w:t>
            </w:r>
          </w:p>
          <w:p w:rsidR="003D6F84" w:rsidRDefault="003D6F84">
            <w:pPr>
              <w:pStyle w:val="MainTextCorbel"/>
              <w:spacing w:after="0" w:line="252" w:lineRule="auto"/>
              <w:rPr>
                <w:color w:val="404040"/>
              </w:rPr>
            </w:pPr>
          </w:p>
          <w:p w:rsidR="003D6F84" w:rsidRDefault="003D6F84">
            <w:pPr>
              <w:pStyle w:val="MainTextCorbel"/>
              <w:spacing w:after="0" w:line="252" w:lineRule="auto"/>
              <w:rPr>
                <w:color w:val="404040"/>
              </w:rPr>
            </w:pPr>
            <w:r>
              <w:rPr>
                <w:color w:val="404040"/>
              </w:rPr>
              <w:t xml:space="preserve">Recently, the survey has been revised and improved. Users are now only presented with feedback questions. </w:t>
            </w:r>
            <w:r>
              <w:rPr>
                <w:color w:val="404040"/>
              </w:rPr>
              <w:lastRenderedPageBreak/>
              <w:t xml:space="preserve">Information from the ticket - ticket number, CSI and Assignment Group/Individual are automatically added to the survey form. As there is no need for users to remember this type of information, it is not requested directly, but is available to the survey owners. This adds simplicity and clarity to the feedback process.  </w:t>
            </w:r>
          </w:p>
        </w:tc>
        <w:bookmarkStart w:id="0" w:name="_GoBack"/>
        <w:bookmarkEnd w:id="0"/>
      </w:tr>
      <w:tr w:rsidR="003D6F84" w:rsidTr="003D6F84">
        <w:trPr>
          <w:trHeight w:val="80"/>
          <w:jc w:val="center"/>
        </w:trPr>
        <w:tc>
          <w:tcPr>
            <w:tcW w:w="9046" w:type="dxa"/>
            <w:gridSpan w:val="3"/>
            <w:shd w:val="clear" w:color="auto" w:fill="FFFFFF"/>
            <w:tcMar>
              <w:top w:w="0" w:type="dxa"/>
              <w:left w:w="108" w:type="dxa"/>
              <w:bottom w:w="0" w:type="dxa"/>
              <w:right w:w="108" w:type="dxa"/>
            </w:tcMar>
          </w:tcPr>
          <w:p w:rsidR="003D6F84" w:rsidRDefault="003D6F84">
            <w:pPr>
              <w:pStyle w:val="MainTextCorbel"/>
              <w:spacing w:after="0" w:line="252" w:lineRule="auto"/>
              <w:rPr>
                <w:sz w:val="24"/>
                <w:szCs w:val="24"/>
              </w:rPr>
            </w:pPr>
          </w:p>
        </w:tc>
      </w:tr>
      <w:tr w:rsidR="003D6F84" w:rsidTr="003D6F84">
        <w:trPr>
          <w:trHeight w:val="80"/>
          <w:jc w:val="center"/>
        </w:trPr>
        <w:tc>
          <w:tcPr>
            <w:tcW w:w="9046" w:type="dxa"/>
            <w:gridSpan w:val="3"/>
            <w:shd w:val="clear" w:color="auto" w:fill="9E2216"/>
            <w:tcMar>
              <w:top w:w="0" w:type="dxa"/>
              <w:left w:w="108" w:type="dxa"/>
              <w:bottom w:w="0" w:type="dxa"/>
              <w:right w:w="108" w:type="dxa"/>
            </w:tcMar>
            <w:hideMark/>
          </w:tcPr>
          <w:p w:rsidR="003D6F84" w:rsidRDefault="003D6F84">
            <w:pPr>
              <w:pStyle w:val="MainTextCorbel"/>
              <w:spacing w:after="0" w:line="252" w:lineRule="auto"/>
              <w:rPr>
                <w:sz w:val="24"/>
                <w:szCs w:val="24"/>
              </w:rPr>
            </w:pPr>
            <w:r>
              <w:rPr>
                <w:sz w:val="24"/>
                <w:szCs w:val="24"/>
              </w:rPr>
              <w:t xml:space="preserve">                  </w:t>
            </w:r>
          </w:p>
        </w:tc>
      </w:tr>
    </w:tbl>
    <w:p w:rsidR="003D6F84" w:rsidRDefault="003D6F84" w:rsidP="003D6F84"/>
    <w:p w:rsidR="00D35FEF" w:rsidRPr="003D6F84" w:rsidRDefault="00D35FEF" w:rsidP="003D6F84"/>
    <w:sectPr w:rsidR="00D35FEF" w:rsidRPr="003D6F84" w:rsidSect="00CA778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FEF" w:rsidRDefault="00D35FEF" w:rsidP="00F27F95">
      <w:r>
        <w:separator/>
      </w:r>
    </w:p>
  </w:endnote>
  <w:endnote w:type="continuationSeparator" w:id="0">
    <w:p w:rsidR="00D35FEF" w:rsidRDefault="00D35FEF" w:rsidP="00F2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959209"/>
      <w:docPartObj>
        <w:docPartGallery w:val="Page Numbers (Bottom of Page)"/>
        <w:docPartUnique/>
      </w:docPartObj>
    </w:sdtPr>
    <w:sdtEndPr>
      <w:rPr>
        <w:color w:val="7F7F7F" w:themeColor="background1" w:themeShade="7F"/>
        <w:spacing w:val="60"/>
        <w:sz w:val="18"/>
        <w:szCs w:val="18"/>
      </w:rPr>
    </w:sdtEndPr>
    <w:sdtContent>
      <w:p w:rsidR="00F27F95" w:rsidRPr="00DD517C" w:rsidRDefault="00F27F95" w:rsidP="00DD517C">
        <w:pPr>
          <w:pStyle w:val="Footer"/>
          <w:pBdr>
            <w:top w:val="single" w:sz="4" w:space="1" w:color="D9D9D9" w:themeColor="background1" w:themeShade="D9"/>
          </w:pBdr>
          <w:rPr>
            <w:b/>
            <w:bCs/>
            <w:sz w:val="18"/>
            <w:szCs w:val="18"/>
          </w:rPr>
        </w:pPr>
        <w:r w:rsidRPr="00DD517C">
          <w:rPr>
            <w:sz w:val="18"/>
            <w:szCs w:val="18"/>
          </w:rPr>
          <w:fldChar w:fldCharType="begin"/>
        </w:r>
        <w:r w:rsidRPr="00DD517C">
          <w:rPr>
            <w:sz w:val="18"/>
            <w:szCs w:val="18"/>
          </w:rPr>
          <w:instrText xml:space="preserve"> PAGE   \* MERGEFORMAT </w:instrText>
        </w:r>
        <w:r w:rsidRPr="00DD517C">
          <w:rPr>
            <w:sz w:val="18"/>
            <w:szCs w:val="18"/>
          </w:rPr>
          <w:fldChar w:fldCharType="separate"/>
        </w:r>
        <w:r w:rsidR="003D6F84" w:rsidRPr="003D6F84">
          <w:rPr>
            <w:b/>
            <w:bCs/>
            <w:noProof/>
            <w:sz w:val="18"/>
            <w:szCs w:val="18"/>
          </w:rPr>
          <w:t>2</w:t>
        </w:r>
        <w:r w:rsidRPr="00DD517C">
          <w:rPr>
            <w:b/>
            <w:bCs/>
            <w:noProof/>
            <w:sz w:val="18"/>
            <w:szCs w:val="18"/>
          </w:rPr>
          <w:fldChar w:fldCharType="end"/>
        </w:r>
        <w:r w:rsidRPr="00DD517C">
          <w:rPr>
            <w:b/>
            <w:bCs/>
            <w:sz w:val="18"/>
            <w:szCs w:val="18"/>
          </w:rPr>
          <w:t xml:space="preserve"> | </w:t>
        </w:r>
        <w:r w:rsidR="00DD517C" w:rsidRPr="00DD517C">
          <w:rPr>
            <w:color w:val="7F7F7F" w:themeColor="background1" w:themeShade="7F"/>
            <w:spacing w:val="60"/>
            <w:sz w:val="18"/>
            <w:szCs w:val="18"/>
          </w:rPr>
          <w:t>SMT Newsletter- Issue 6</w:t>
        </w:r>
      </w:p>
    </w:sdtContent>
  </w:sdt>
  <w:p w:rsidR="00F27F95" w:rsidRDefault="00F27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FEF" w:rsidRDefault="00D35FEF" w:rsidP="00F27F95">
      <w:r>
        <w:separator/>
      </w:r>
    </w:p>
  </w:footnote>
  <w:footnote w:type="continuationSeparator" w:id="0">
    <w:p w:rsidR="00D35FEF" w:rsidRDefault="00D35FEF" w:rsidP="00F27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13F7C"/>
    <w:multiLevelType w:val="hybridMultilevel"/>
    <w:tmpl w:val="600AD300"/>
    <w:lvl w:ilvl="0" w:tplc="15C8EB9A">
      <w:numFmt w:val="bullet"/>
      <w:lvlText w:val=""/>
      <w:lvlJc w:val="left"/>
      <w:pPr>
        <w:ind w:left="780" w:hanging="42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385C89"/>
    <w:multiLevelType w:val="hybridMultilevel"/>
    <w:tmpl w:val="863061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54E058A"/>
    <w:multiLevelType w:val="hybridMultilevel"/>
    <w:tmpl w:val="411E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DA37A9"/>
    <w:multiLevelType w:val="hybridMultilevel"/>
    <w:tmpl w:val="0EFA0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9DA5AAA"/>
    <w:multiLevelType w:val="hybridMultilevel"/>
    <w:tmpl w:val="A7E478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252B0B"/>
    <w:multiLevelType w:val="hybridMultilevel"/>
    <w:tmpl w:val="227081D4"/>
    <w:lvl w:ilvl="0" w:tplc="2280FFB2">
      <w:start w:val="1"/>
      <w:numFmt w:val="bullet"/>
      <w:pStyle w:val="n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FC2AD0"/>
    <w:multiLevelType w:val="hybridMultilevel"/>
    <w:tmpl w:val="571A198A"/>
    <w:lvl w:ilvl="0" w:tplc="15C8EB9A">
      <w:numFmt w:val="bullet"/>
      <w:lvlText w:val=""/>
      <w:lvlJc w:val="left"/>
      <w:pPr>
        <w:ind w:left="780" w:hanging="42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47770D1"/>
    <w:multiLevelType w:val="hybridMultilevel"/>
    <w:tmpl w:val="85105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64EF7641"/>
    <w:multiLevelType w:val="hybridMultilevel"/>
    <w:tmpl w:val="1FE299BA"/>
    <w:lvl w:ilvl="0" w:tplc="15C8EB9A">
      <w:numFmt w:val="bullet"/>
      <w:lvlText w:val=""/>
      <w:lvlJc w:val="left"/>
      <w:pPr>
        <w:ind w:left="780" w:hanging="42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F4026F1"/>
    <w:multiLevelType w:val="hybridMultilevel"/>
    <w:tmpl w:val="36420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721E2FA0"/>
    <w:multiLevelType w:val="hybridMultilevel"/>
    <w:tmpl w:val="A3348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3"/>
  </w:num>
  <w:num w:numId="5">
    <w:abstractNumId w:val="1"/>
  </w:num>
  <w:num w:numId="6">
    <w:abstractNumId w:val="8"/>
  </w:num>
  <w:num w:numId="7">
    <w:abstractNumId w:val="6"/>
  </w:num>
  <w:num w:numId="8">
    <w:abstractNumId w:val="0"/>
  </w:num>
  <w:num w:numId="9">
    <w:abstractNumId w:val="5"/>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activeWritingStyle w:appName="MSWord" w:lang="it-IT" w:vendorID="64" w:dllVersion="131078" w:nlCheck="1" w:checkStyle="0"/>
  <w:activeWritingStyle w:appName="MSWord" w:lang="en-GB" w:vendorID="64" w:dllVersion="131078" w:nlCheck="1" w:checkStyle="1"/>
  <w:activeWritingStyle w:appName="MSWord" w:lang="fr-FR" w:vendorID="64" w:dllVersion="131078" w:nlCheck="1" w:checkStyle="1"/>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E4"/>
    <w:rsid w:val="00000210"/>
    <w:rsid w:val="0001084D"/>
    <w:rsid w:val="000214FE"/>
    <w:rsid w:val="00024FAD"/>
    <w:rsid w:val="00026E4A"/>
    <w:rsid w:val="0003187E"/>
    <w:rsid w:val="00041B66"/>
    <w:rsid w:val="00047DC4"/>
    <w:rsid w:val="000535C5"/>
    <w:rsid w:val="000726B2"/>
    <w:rsid w:val="00073CB4"/>
    <w:rsid w:val="00084336"/>
    <w:rsid w:val="000A66F5"/>
    <w:rsid w:val="000A6D0F"/>
    <w:rsid w:val="000B67CD"/>
    <w:rsid w:val="000C6AEB"/>
    <w:rsid w:val="000E24B9"/>
    <w:rsid w:val="000F19CE"/>
    <w:rsid w:val="000F6BDB"/>
    <w:rsid w:val="00102EFD"/>
    <w:rsid w:val="00134509"/>
    <w:rsid w:val="001602FD"/>
    <w:rsid w:val="0016585F"/>
    <w:rsid w:val="00167414"/>
    <w:rsid w:val="001C3A0E"/>
    <w:rsid w:val="001E29BC"/>
    <w:rsid w:val="002142EF"/>
    <w:rsid w:val="00217D50"/>
    <w:rsid w:val="00226C78"/>
    <w:rsid w:val="00236D53"/>
    <w:rsid w:val="00270BCF"/>
    <w:rsid w:val="00277891"/>
    <w:rsid w:val="002902D3"/>
    <w:rsid w:val="002958AD"/>
    <w:rsid w:val="002B576E"/>
    <w:rsid w:val="002C5C48"/>
    <w:rsid w:val="002D55A0"/>
    <w:rsid w:val="002E1943"/>
    <w:rsid w:val="002E1B26"/>
    <w:rsid w:val="002E74CB"/>
    <w:rsid w:val="002F0F15"/>
    <w:rsid w:val="002F43E8"/>
    <w:rsid w:val="00312AAC"/>
    <w:rsid w:val="0033709B"/>
    <w:rsid w:val="003452F3"/>
    <w:rsid w:val="0039139D"/>
    <w:rsid w:val="003A1669"/>
    <w:rsid w:val="003B4ED0"/>
    <w:rsid w:val="003D6F84"/>
    <w:rsid w:val="003F5BA9"/>
    <w:rsid w:val="003F76B8"/>
    <w:rsid w:val="004571E0"/>
    <w:rsid w:val="004A6F23"/>
    <w:rsid w:val="004B28B5"/>
    <w:rsid w:val="004D0DEC"/>
    <w:rsid w:val="00501F37"/>
    <w:rsid w:val="00536924"/>
    <w:rsid w:val="00562DFD"/>
    <w:rsid w:val="00565DBE"/>
    <w:rsid w:val="0056780A"/>
    <w:rsid w:val="005772C4"/>
    <w:rsid w:val="005921D7"/>
    <w:rsid w:val="005B4CEC"/>
    <w:rsid w:val="005D65C8"/>
    <w:rsid w:val="005D761F"/>
    <w:rsid w:val="005F1B7F"/>
    <w:rsid w:val="006259B0"/>
    <w:rsid w:val="00657FFC"/>
    <w:rsid w:val="0066410D"/>
    <w:rsid w:val="00674E10"/>
    <w:rsid w:val="006908B8"/>
    <w:rsid w:val="006B480B"/>
    <w:rsid w:val="006C39CE"/>
    <w:rsid w:val="006C79E8"/>
    <w:rsid w:val="006C7BE4"/>
    <w:rsid w:val="006D5C14"/>
    <w:rsid w:val="006D6B6A"/>
    <w:rsid w:val="006F22BC"/>
    <w:rsid w:val="007507C7"/>
    <w:rsid w:val="007524CC"/>
    <w:rsid w:val="00775066"/>
    <w:rsid w:val="00783BC6"/>
    <w:rsid w:val="007A0040"/>
    <w:rsid w:val="007A0B07"/>
    <w:rsid w:val="007A2600"/>
    <w:rsid w:val="007A7FCD"/>
    <w:rsid w:val="0080721F"/>
    <w:rsid w:val="00825E51"/>
    <w:rsid w:val="00830213"/>
    <w:rsid w:val="00854AB0"/>
    <w:rsid w:val="00870323"/>
    <w:rsid w:val="00874A5E"/>
    <w:rsid w:val="0089061E"/>
    <w:rsid w:val="008A3C07"/>
    <w:rsid w:val="008A6C08"/>
    <w:rsid w:val="008B05D3"/>
    <w:rsid w:val="008D5806"/>
    <w:rsid w:val="008E228E"/>
    <w:rsid w:val="008E40E2"/>
    <w:rsid w:val="008F4695"/>
    <w:rsid w:val="00913C3C"/>
    <w:rsid w:val="00917C3F"/>
    <w:rsid w:val="00927187"/>
    <w:rsid w:val="009407FD"/>
    <w:rsid w:val="009514E0"/>
    <w:rsid w:val="00953F25"/>
    <w:rsid w:val="009673AF"/>
    <w:rsid w:val="009737D8"/>
    <w:rsid w:val="009758D1"/>
    <w:rsid w:val="00994231"/>
    <w:rsid w:val="00997CC1"/>
    <w:rsid w:val="009B74D5"/>
    <w:rsid w:val="009D7A19"/>
    <w:rsid w:val="009E455F"/>
    <w:rsid w:val="00A04C54"/>
    <w:rsid w:val="00A2143B"/>
    <w:rsid w:val="00A32385"/>
    <w:rsid w:val="00A6214E"/>
    <w:rsid w:val="00A741AE"/>
    <w:rsid w:val="00A96C1F"/>
    <w:rsid w:val="00AA7C53"/>
    <w:rsid w:val="00AB37D7"/>
    <w:rsid w:val="00AE1062"/>
    <w:rsid w:val="00AE5559"/>
    <w:rsid w:val="00B070D3"/>
    <w:rsid w:val="00B25864"/>
    <w:rsid w:val="00B500DE"/>
    <w:rsid w:val="00B639F1"/>
    <w:rsid w:val="00B65C2D"/>
    <w:rsid w:val="00B94168"/>
    <w:rsid w:val="00BB5585"/>
    <w:rsid w:val="00C033A0"/>
    <w:rsid w:val="00C10995"/>
    <w:rsid w:val="00C1613F"/>
    <w:rsid w:val="00C252D6"/>
    <w:rsid w:val="00C402AE"/>
    <w:rsid w:val="00C47075"/>
    <w:rsid w:val="00C54091"/>
    <w:rsid w:val="00C63301"/>
    <w:rsid w:val="00C87CAE"/>
    <w:rsid w:val="00C910DA"/>
    <w:rsid w:val="00C951E3"/>
    <w:rsid w:val="00CA1F30"/>
    <w:rsid w:val="00CA778D"/>
    <w:rsid w:val="00CD7815"/>
    <w:rsid w:val="00D17D5D"/>
    <w:rsid w:val="00D32554"/>
    <w:rsid w:val="00D35FEF"/>
    <w:rsid w:val="00D43DFB"/>
    <w:rsid w:val="00D56D8A"/>
    <w:rsid w:val="00D575B9"/>
    <w:rsid w:val="00D67418"/>
    <w:rsid w:val="00D80E5B"/>
    <w:rsid w:val="00D821A6"/>
    <w:rsid w:val="00D82A20"/>
    <w:rsid w:val="00DA6E1F"/>
    <w:rsid w:val="00DB43D2"/>
    <w:rsid w:val="00DB73D9"/>
    <w:rsid w:val="00DC3967"/>
    <w:rsid w:val="00DD0C09"/>
    <w:rsid w:val="00DD517C"/>
    <w:rsid w:val="00DE6C73"/>
    <w:rsid w:val="00DF18D0"/>
    <w:rsid w:val="00DF648A"/>
    <w:rsid w:val="00E01528"/>
    <w:rsid w:val="00E16BC6"/>
    <w:rsid w:val="00E22395"/>
    <w:rsid w:val="00E344BC"/>
    <w:rsid w:val="00E51369"/>
    <w:rsid w:val="00E53120"/>
    <w:rsid w:val="00E62ACA"/>
    <w:rsid w:val="00E705B9"/>
    <w:rsid w:val="00E721A7"/>
    <w:rsid w:val="00E875DF"/>
    <w:rsid w:val="00EE5A16"/>
    <w:rsid w:val="00EF6692"/>
    <w:rsid w:val="00F00FAD"/>
    <w:rsid w:val="00F16F5F"/>
    <w:rsid w:val="00F27F95"/>
    <w:rsid w:val="00F72743"/>
    <w:rsid w:val="00FA1729"/>
    <w:rsid w:val="00FC1A54"/>
    <w:rsid w:val="00FC41FB"/>
    <w:rsid w:val="00FF6C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8F445B16-7D46-4B26-B22E-57BB07E4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B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BE4"/>
    <w:rPr>
      <w:color w:val="0563C1"/>
      <w:u w:val="single"/>
    </w:rPr>
  </w:style>
  <w:style w:type="character" w:customStyle="1" w:styleId="ListParagraphChar">
    <w:name w:val="List Paragraph Char"/>
    <w:basedOn w:val="DefaultParagraphFont"/>
    <w:link w:val="ListParagraph"/>
    <w:uiPriority w:val="34"/>
    <w:locked/>
    <w:rsid w:val="006C7BE4"/>
  </w:style>
  <w:style w:type="paragraph" w:styleId="ListParagraph">
    <w:name w:val="List Paragraph"/>
    <w:basedOn w:val="Normal"/>
    <w:link w:val="ListParagraphChar"/>
    <w:uiPriority w:val="34"/>
    <w:qFormat/>
    <w:rsid w:val="006C7BE4"/>
    <w:pPr>
      <w:spacing w:after="160" w:line="252" w:lineRule="auto"/>
      <w:ind w:left="720"/>
      <w:contextualSpacing/>
    </w:pPr>
    <w:rPr>
      <w:rFonts w:asciiTheme="minorHAnsi" w:hAnsiTheme="minorHAnsi" w:cstheme="minorBidi"/>
    </w:rPr>
  </w:style>
  <w:style w:type="character" w:customStyle="1" w:styleId="IntroParagraphChar">
    <w:name w:val="Intro Paragraph Char"/>
    <w:basedOn w:val="DefaultParagraphFont"/>
    <w:link w:val="IntroParagraph"/>
    <w:locked/>
    <w:rsid w:val="006C7BE4"/>
    <w:rPr>
      <w:i/>
      <w:iCs/>
      <w:color w:val="727272"/>
    </w:rPr>
  </w:style>
  <w:style w:type="paragraph" w:customStyle="1" w:styleId="IntroParagraph">
    <w:name w:val="Intro Paragraph"/>
    <w:basedOn w:val="Normal"/>
    <w:link w:val="IntroParagraphChar"/>
    <w:qFormat/>
    <w:rsid w:val="006C7BE4"/>
    <w:pPr>
      <w:spacing w:after="160" w:line="252" w:lineRule="auto"/>
    </w:pPr>
    <w:rPr>
      <w:rFonts w:asciiTheme="minorHAnsi" w:hAnsiTheme="minorHAnsi" w:cstheme="minorBidi"/>
      <w:i/>
      <w:iCs/>
      <w:color w:val="727272"/>
    </w:rPr>
  </w:style>
  <w:style w:type="character" w:customStyle="1" w:styleId="TitleGeorgiaChar">
    <w:name w:val="Title_Georgia Char"/>
    <w:basedOn w:val="DefaultParagraphFont"/>
    <w:link w:val="TitleGeorgia"/>
    <w:locked/>
    <w:rsid w:val="006C7BE4"/>
    <w:rPr>
      <w:rFonts w:ascii="Georgia" w:hAnsi="Georgia"/>
      <w:b/>
      <w:bCs/>
      <w:color w:val="007C92"/>
    </w:rPr>
  </w:style>
  <w:style w:type="paragraph" w:customStyle="1" w:styleId="TitleGeorgia">
    <w:name w:val="Title_Georgia"/>
    <w:basedOn w:val="Normal"/>
    <w:link w:val="TitleGeorgiaChar"/>
    <w:rsid w:val="006C7BE4"/>
    <w:pPr>
      <w:spacing w:after="160" w:line="252" w:lineRule="auto"/>
    </w:pPr>
    <w:rPr>
      <w:rFonts w:ascii="Georgia" w:hAnsi="Georgia" w:cstheme="minorBidi"/>
      <w:b/>
      <w:bCs/>
      <w:color w:val="007C92"/>
    </w:rPr>
  </w:style>
  <w:style w:type="character" w:customStyle="1" w:styleId="MainTextCorbelChar">
    <w:name w:val="Main Text Corbel Char"/>
    <w:basedOn w:val="DefaultParagraphFont"/>
    <w:link w:val="MainTextCorbel"/>
    <w:locked/>
    <w:rsid w:val="006C7BE4"/>
    <w:rPr>
      <w:rFonts w:ascii="Corbel" w:hAnsi="Corbel"/>
      <w:color w:val="262626"/>
    </w:rPr>
  </w:style>
  <w:style w:type="paragraph" w:customStyle="1" w:styleId="MainTextCorbel">
    <w:name w:val="Main Text Corbel"/>
    <w:basedOn w:val="Normal"/>
    <w:link w:val="MainTextCorbelChar"/>
    <w:rsid w:val="006C7BE4"/>
    <w:pPr>
      <w:spacing w:after="160"/>
    </w:pPr>
    <w:rPr>
      <w:rFonts w:ascii="Corbel" w:hAnsi="Corbel" w:cstheme="minorBidi"/>
      <w:color w:val="262626"/>
    </w:rPr>
  </w:style>
  <w:style w:type="character" w:customStyle="1" w:styleId="Subtitle2Char">
    <w:name w:val="Subtitle 2 Char"/>
    <w:basedOn w:val="DefaultParagraphFont"/>
    <w:link w:val="Subtitle2"/>
    <w:locked/>
    <w:rsid w:val="006C7BE4"/>
    <w:rPr>
      <w:rFonts w:ascii="Georgia" w:hAnsi="Georgia"/>
      <w:i/>
      <w:iCs/>
      <w:color w:val="000000"/>
      <w:u w:val="single"/>
    </w:rPr>
  </w:style>
  <w:style w:type="paragraph" w:customStyle="1" w:styleId="Subtitle2">
    <w:name w:val="Subtitle 2"/>
    <w:basedOn w:val="Normal"/>
    <w:link w:val="Subtitle2Char"/>
    <w:rsid w:val="006C7BE4"/>
    <w:pPr>
      <w:spacing w:after="160" w:line="252" w:lineRule="auto"/>
    </w:pPr>
    <w:rPr>
      <w:rFonts w:ascii="Georgia" w:hAnsi="Georgia" w:cstheme="minorBidi"/>
      <w:i/>
      <w:iCs/>
      <w:color w:val="000000"/>
      <w:u w:val="single"/>
    </w:rPr>
  </w:style>
  <w:style w:type="character" w:styleId="SubtleEmphasis">
    <w:name w:val="Subtle Emphasis"/>
    <w:basedOn w:val="DefaultParagraphFont"/>
    <w:uiPriority w:val="19"/>
    <w:qFormat/>
    <w:rsid w:val="006C7BE4"/>
    <w:rPr>
      <w:i/>
      <w:iCs/>
      <w:color w:val="404040"/>
    </w:rPr>
  </w:style>
  <w:style w:type="table" w:styleId="TableGrid">
    <w:name w:val="Table Grid"/>
    <w:basedOn w:val="TableNormal"/>
    <w:uiPriority w:val="39"/>
    <w:rsid w:val="00295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lBullets">
    <w:name w:val="nlBullets"/>
    <w:basedOn w:val="MainTextCorbel"/>
    <w:qFormat/>
    <w:rsid w:val="00024FAD"/>
    <w:pPr>
      <w:numPr>
        <w:numId w:val="9"/>
      </w:numPr>
      <w:spacing w:after="120"/>
      <w:ind w:left="357" w:hanging="357"/>
    </w:pPr>
    <w:rPr>
      <w:color w:val="404040" w:themeColor="text1" w:themeTint="BF"/>
    </w:rPr>
  </w:style>
  <w:style w:type="paragraph" w:customStyle="1" w:styleId="nlSubtitle1">
    <w:name w:val="nlSubtitle1"/>
    <w:basedOn w:val="Subtitle2"/>
    <w:qFormat/>
    <w:rsid w:val="00565DBE"/>
    <w:pPr>
      <w:spacing w:after="0" w:line="240" w:lineRule="auto"/>
    </w:pPr>
    <w:rPr>
      <w:color w:val="404040" w:themeColor="text1" w:themeTint="BF"/>
    </w:rPr>
  </w:style>
  <w:style w:type="paragraph" w:customStyle="1" w:styleId="nlSubtitle1White">
    <w:name w:val="nlSubtitle1_White"/>
    <w:basedOn w:val="nlSubtitle1"/>
    <w:qFormat/>
    <w:rsid w:val="00312AAC"/>
    <w:rPr>
      <w:color w:val="FFFFFF" w:themeColor="background1"/>
    </w:rPr>
  </w:style>
  <w:style w:type="paragraph" w:styleId="IntenseQuote">
    <w:name w:val="Intense Quote"/>
    <w:basedOn w:val="Normal"/>
    <w:next w:val="Normal"/>
    <w:link w:val="IntenseQuoteChar"/>
    <w:uiPriority w:val="30"/>
    <w:qFormat/>
    <w:rsid w:val="009B74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B74D5"/>
    <w:rPr>
      <w:rFonts w:ascii="Calibri" w:hAnsi="Calibri" w:cs="Times New Roman"/>
      <w:i/>
      <w:iCs/>
      <w:color w:val="5B9BD5" w:themeColor="accent1"/>
    </w:rPr>
  </w:style>
  <w:style w:type="character" w:styleId="FollowedHyperlink">
    <w:name w:val="FollowedHyperlink"/>
    <w:basedOn w:val="DefaultParagraphFont"/>
    <w:uiPriority w:val="99"/>
    <w:semiHidden/>
    <w:unhideWhenUsed/>
    <w:rsid w:val="00C402AE"/>
    <w:rPr>
      <w:color w:val="954F72" w:themeColor="followedHyperlink"/>
      <w:u w:val="single"/>
    </w:rPr>
  </w:style>
  <w:style w:type="paragraph" w:styleId="Header">
    <w:name w:val="header"/>
    <w:basedOn w:val="Normal"/>
    <w:link w:val="HeaderChar"/>
    <w:uiPriority w:val="99"/>
    <w:unhideWhenUsed/>
    <w:rsid w:val="00F27F95"/>
    <w:pPr>
      <w:tabs>
        <w:tab w:val="center" w:pos="4513"/>
        <w:tab w:val="right" w:pos="9026"/>
      </w:tabs>
    </w:pPr>
  </w:style>
  <w:style w:type="character" w:customStyle="1" w:styleId="HeaderChar">
    <w:name w:val="Header Char"/>
    <w:basedOn w:val="DefaultParagraphFont"/>
    <w:link w:val="Header"/>
    <w:uiPriority w:val="99"/>
    <w:rsid w:val="00F27F95"/>
    <w:rPr>
      <w:rFonts w:ascii="Calibri" w:hAnsi="Calibri" w:cs="Times New Roman"/>
    </w:rPr>
  </w:style>
  <w:style w:type="paragraph" w:styleId="Footer">
    <w:name w:val="footer"/>
    <w:basedOn w:val="Normal"/>
    <w:link w:val="FooterChar"/>
    <w:uiPriority w:val="99"/>
    <w:unhideWhenUsed/>
    <w:rsid w:val="00F27F95"/>
    <w:pPr>
      <w:tabs>
        <w:tab w:val="center" w:pos="4513"/>
        <w:tab w:val="right" w:pos="9026"/>
      </w:tabs>
    </w:pPr>
  </w:style>
  <w:style w:type="character" w:customStyle="1" w:styleId="FooterChar">
    <w:name w:val="Footer Char"/>
    <w:basedOn w:val="DefaultParagraphFont"/>
    <w:link w:val="Footer"/>
    <w:uiPriority w:val="99"/>
    <w:rsid w:val="00F27F9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5847">
      <w:bodyDiv w:val="1"/>
      <w:marLeft w:val="0"/>
      <w:marRight w:val="0"/>
      <w:marTop w:val="0"/>
      <w:marBottom w:val="0"/>
      <w:divBdr>
        <w:top w:val="none" w:sz="0" w:space="0" w:color="auto"/>
        <w:left w:val="none" w:sz="0" w:space="0" w:color="auto"/>
        <w:bottom w:val="none" w:sz="0" w:space="0" w:color="auto"/>
        <w:right w:val="none" w:sz="0" w:space="0" w:color="auto"/>
      </w:divBdr>
    </w:div>
    <w:div w:id="873082166">
      <w:bodyDiv w:val="1"/>
      <w:marLeft w:val="0"/>
      <w:marRight w:val="0"/>
      <w:marTop w:val="0"/>
      <w:marBottom w:val="0"/>
      <w:divBdr>
        <w:top w:val="none" w:sz="0" w:space="0" w:color="auto"/>
        <w:left w:val="none" w:sz="0" w:space="0" w:color="auto"/>
        <w:bottom w:val="none" w:sz="0" w:space="0" w:color="auto"/>
        <w:right w:val="none" w:sz="0" w:space="0" w:color="auto"/>
      </w:divBdr>
    </w:div>
    <w:div w:id="1045787414">
      <w:bodyDiv w:val="1"/>
      <w:marLeft w:val="0"/>
      <w:marRight w:val="0"/>
      <w:marTop w:val="0"/>
      <w:marBottom w:val="0"/>
      <w:divBdr>
        <w:top w:val="none" w:sz="0" w:space="0" w:color="auto"/>
        <w:left w:val="none" w:sz="0" w:space="0" w:color="auto"/>
        <w:bottom w:val="none" w:sz="0" w:space="0" w:color="auto"/>
        <w:right w:val="none" w:sz="0" w:space="0" w:color="auto"/>
      </w:divBdr>
    </w:div>
    <w:div w:id="1577398833">
      <w:bodyDiv w:val="1"/>
      <w:marLeft w:val="0"/>
      <w:marRight w:val="0"/>
      <w:marTop w:val="0"/>
      <w:marBottom w:val="0"/>
      <w:divBdr>
        <w:top w:val="none" w:sz="0" w:space="0" w:color="auto"/>
        <w:left w:val="none" w:sz="0" w:space="0" w:color="auto"/>
        <w:bottom w:val="none" w:sz="0" w:space="0" w:color="auto"/>
        <w:right w:val="none" w:sz="0" w:space="0" w:color="auto"/>
      </w:divBdr>
    </w:div>
    <w:div w:id="1839883365">
      <w:bodyDiv w:val="1"/>
      <w:marLeft w:val="0"/>
      <w:marRight w:val="0"/>
      <w:marTop w:val="0"/>
      <w:marBottom w:val="0"/>
      <w:divBdr>
        <w:top w:val="none" w:sz="0" w:space="0" w:color="auto"/>
        <w:left w:val="none" w:sz="0" w:space="0" w:color="auto"/>
        <w:bottom w:val="none" w:sz="0" w:space="0" w:color="auto"/>
        <w:right w:val="none" w:sz="0" w:space="0" w:color="auto"/>
      </w:divBdr>
    </w:div>
    <w:div w:id="1947227177">
      <w:bodyDiv w:val="1"/>
      <w:marLeft w:val="0"/>
      <w:marRight w:val="0"/>
      <w:marTop w:val="0"/>
      <w:marBottom w:val="0"/>
      <w:divBdr>
        <w:top w:val="none" w:sz="0" w:space="0" w:color="auto"/>
        <w:left w:val="none" w:sz="0" w:space="0" w:color="auto"/>
        <w:bottom w:val="none" w:sz="0" w:space="0" w:color="auto"/>
        <w:right w:val="none" w:sz="0" w:space="0" w:color="auto"/>
      </w:divBdr>
    </w:div>
    <w:div w:id="1987392666">
      <w:bodyDiv w:val="1"/>
      <w:marLeft w:val="0"/>
      <w:marRight w:val="0"/>
      <w:marTop w:val="0"/>
      <w:marBottom w:val="0"/>
      <w:divBdr>
        <w:top w:val="none" w:sz="0" w:space="0" w:color="auto"/>
        <w:left w:val="none" w:sz="0" w:space="0" w:color="auto"/>
        <w:bottom w:val="none" w:sz="0" w:space="0" w:color="auto"/>
        <w:right w:val="none" w:sz="0" w:space="0" w:color="auto"/>
      </w:divBdr>
    </w:div>
    <w:div w:id="203144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AC51F-401B-4251-8059-FD5351A5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3</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Marcon G.</dc:creator>
  <cp:keywords/>
  <dc:description/>
  <cp:lastModifiedBy>Marcon G.</cp:lastModifiedBy>
  <cp:revision>16</cp:revision>
  <cp:lastPrinted>2015-03-26T16:10:00Z</cp:lastPrinted>
  <dcterms:created xsi:type="dcterms:W3CDTF">2015-03-25T12:40:00Z</dcterms:created>
  <dcterms:modified xsi:type="dcterms:W3CDTF">2015-03-26T17:34:00Z</dcterms:modified>
</cp:coreProperties>
</file>