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UTable"/>
        <w:tblW w:w="9659" w:type="dxa"/>
        <w:tblBorders>
          <w:left w:val="none" w:sz="0" w:space="0" w:color="auto"/>
          <w:right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993"/>
        <w:gridCol w:w="5528"/>
        <w:gridCol w:w="567"/>
        <w:gridCol w:w="2571"/>
      </w:tblGrid>
      <w:tr w:rsidR="0082020C" w:rsidTr="00520060">
        <w:tc>
          <w:tcPr>
            <w:tcW w:w="993" w:type="dxa"/>
          </w:tcPr>
          <w:p w:rsidR="0082020C" w:rsidRPr="0018144C" w:rsidRDefault="00062768" w:rsidP="00D65B56">
            <w:pPr>
              <w:pStyle w:val="Headerdetails"/>
              <w:rPr>
                <w:b/>
              </w:rPr>
            </w:pPr>
            <w:r>
              <w:rPr>
                <w:b/>
              </w:rPr>
              <w:t>T</w:t>
            </w:r>
            <w:r w:rsidR="0082020C" w:rsidRPr="0018144C">
              <w:rPr>
                <w:b/>
              </w:rPr>
              <w:t>itle:</w:t>
            </w:r>
          </w:p>
        </w:tc>
        <w:tc>
          <w:tcPr>
            <w:tcW w:w="8666" w:type="dxa"/>
            <w:gridSpan w:val="3"/>
          </w:tcPr>
          <w:p w:rsidR="0082020C" w:rsidRDefault="009A3A08" w:rsidP="00D65B56">
            <w:pPr>
              <w:pStyle w:val="Headerdetails"/>
            </w:pPr>
            <w:proofErr w:type="spellStart"/>
            <w:r>
              <w:t>DataPool</w:t>
            </w:r>
            <w:proofErr w:type="spellEnd"/>
            <w:r>
              <w:t xml:space="preserve"> Steering Group: progress report </w:t>
            </w:r>
          </w:p>
        </w:tc>
      </w:tr>
      <w:tr w:rsidR="0082020C" w:rsidTr="00520060">
        <w:tc>
          <w:tcPr>
            <w:tcW w:w="993" w:type="dxa"/>
          </w:tcPr>
          <w:p w:rsidR="0082020C" w:rsidRPr="0018144C" w:rsidRDefault="00791A2A" w:rsidP="00D65B56">
            <w:pPr>
              <w:pStyle w:val="Headerdetails"/>
              <w:rPr>
                <w:b/>
              </w:rPr>
            </w:pPr>
            <w:r>
              <w:rPr>
                <w:b/>
              </w:rPr>
              <w:t>From</w:t>
            </w:r>
            <w:r w:rsidR="0082020C" w:rsidRPr="0018144C">
              <w:rPr>
                <w:b/>
              </w:rPr>
              <w:t>:</w:t>
            </w:r>
          </w:p>
        </w:tc>
        <w:tc>
          <w:tcPr>
            <w:tcW w:w="5528" w:type="dxa"/>
          </w:tcPr>
          <w:p w:rsidR="0082020C" w:rsidRDefault="009A3A08" w:rsidP="00BE5833">
            <w:pPr>
              <w:pStyle w:val="Headerdetails"/>
            </w:pPr>
            <w:r>
              <w:t>Wendy White</w:t>
            </w:r>
          </w:p>
        </w:tc>
        <w:tc>
          <w:tcPr>
            <w:tcW w:w="567" w:type="dxa"/>
          </w:tcPr>
          <w:p w:rsidR="0082020C" w:rsidRPr="0018144C" w:rsidRDefault="00062768" w:rsidP="00D65B56">
            <w:pPr>
              <w:pStyle w:val="Headerdetails"/>
              <w:rPr>
                <w:b/>
              </w:rPr>
            </w:pPr>
            <w:r>
              <w:rPr>
                <w:b/>
              </w:rPr>
              <w:t>Date</w:t>
            </w:r>
            <w:r w:rsidR="0082020C" w:rsidRPr="0018144C">
              <w:rPr>
                <w:b/>
              </w:rPr>
              <w:t>: </w:t>
            </w:r>
          </w:p>
        </w:tc>
        <w:tc>
          <w:tcPr>
            <w:tcW w:w="2571" w:type="dxa"/>
          </w:tcPr>
          <w:p w:rsidR="0082020C" w:rsidRDefault="00520060" w:rsidP="00520060">
            <w:pPr>
              <w:pStyle w:val="Headerdetails"/>
            </w:pPr>
            <w:r>
              <w:t>12/03/13</w:t>
            </w:r>
          </w:p>
        </w:tc>
      </w:tr>
    </w:tbl>
    <w:p w:rsidR="00111497" w:rsidRDefault="00111497" w:rsidP="007715F1"/>
    <w:p w:rsidR="00111497" w:rsidRDefault="00111497" w:rsidP="007715F1">
      <w:r>
        <w:t>The final project report will be available shortly, so we will take the opportunity with this final Steering Group update to highlight key areas of activity over the last period and illustrate themes for sustainability as we approach the mid-term of the 10 year roadmap. As the project d</w:t>
      </w:r>
      <w:r w:rsidR="0031068A">
        <w:t>raws to a close with all strands now ready for full institutional embedding</w:t>
      </w:r>
      <w:r w:rsidR="00730942">
        <w:t>,</w:t>
      </w:r>
      <w:r w:rsidR="0031068A">
        <w:t xml:space="preserve"> this next phase can be characterised by some principles</w:t>
      </w:r>
      <w:r w:rsidR="00730942">
        <w:t xml:space="preserve"> which the project activity has helped clarify</w:t>
      </w:r>
      <w:r w:rsidR="0031068A">
        <w:t xml:space="preserve">: </w:t>
      </w:r>
      <w:r>
        <w:t xml:space="preserve"> </w:t>
      </w:r>
    </w:p>
    <w:p w:rsidR="00FC60C7" w:rsidRDefault="0031068A" w:rsidP="00AF7AE6">
      <w:pPr>
        <w:pStyle w:val="ListParagraph"/>
        <w:numPr>
          <w:ilvl w:val="0"/>
          <w:numId w:val="42"/>
        </w:numPr>
      </w:pPr>
      <w:r>
        <w:t xml:space="preserve">Commitment to </w:t>
      </w:r>
      <w:r w:rsidR="00AC76D6">
        <w:t xml:space="preserve">an </w:t>
      </w:r>
      <w:r>
        <w:t>on-going iterative approach to achieve “innovation to service” model of delivery</w:t>
      </w:r>
    </w:p>
    <w:p w:rsidR="00FC60C7" w:rsidRDefault="0031068A" w:rsidP="00AF7AE6">
      <w:pPr>
        <w:pStyle w:val="ListParagraph"/>
        <w:numPr>
          <w:ilvl w:val="0"/>
          <w:numId w:val="42"/>
        </w:numPr>
      </w:pPr>
      <w:r>
        <w:t>Continued evidence-gathering to ensure longer-</w:t>
      </w:r>
      <w:r w:rsidR="00730942">
        <w:t>term benefits</w:t>
      </w:r>
      <w:r>
        <w:t xml:space="preserve"> are disseminated to inform institutional decision-making and sector-wide </w:t>
      </w:r>
      <w:r w:rsidR="00730942">
        <w:t>initiatives</w:t>
      </w:r>
    </w:p>
    <w:p w:rsidR="00FD3ED9" w:rsidRDefault="00FD3ED9" w:rsidP="00AF7AE6">
      <w:pPr>
        <w:pStyle w:val="ListParagraph"/>
        <w:numPr>
          <w:ilvl w:val="0"/>
          <w:numId w:val="42"/>
        </w:numPr>
      </w:pPr>
      <w:r>
        <w:t>Collaborative working as an underpinning requirement for success – an academic and service partnership is further strengthened by multi-disciplinary</w:t>
      </w:r>
      <w:r w:rsidR="00730942">
        <w:t xml:space="preserve"> and cross-service perspectives</w:t>
      </w:r>
      <w:r w:rsidR="00363691">
        <w:t>.</w:t>
      </w:r>
    </w:p>
    <w:p w:rsidR="0024639E" w:rsidRDefault="007B51CA" w:rsidP="00B77BE8">
      <w:r>
        <w:t xml:space="preserve">Almost all aspects of the project have required collaboration. This has been true of the development of policy, </w:t>
      </w:r>
      <w:r w:rsidR="0024639E">
        <w:t xml:space="preserve">joint work to </w:t>
      </w:r>
      <w:r>
        <w:t>review storage</w:t>
      </w:r>
      <w:r w:rsidR="0024639E">
        <w:t xml:space="preserve"> and investment priorities, training design and delivery, research data management planning and support services and iterating technical developments.  To help support on-going collaboration in the next phase of the roadmap some of the responsibilities as PI of this project are now formally embedded in my role to continue to take initiatives forward and lead co-ordination of services.</w:t>
      </w:r>
      <w:r w:rsidR="00363691">
        <w:t xml:space="preserve"> This reflects an institutional commitment to ensure that responsibility for research data management is reflected in a range of existing roles and not handled as adjunct activity. </w:t>
      </w:r>
      <w:r w:rsidR="0024639E">
        <w:t xml:space="preserve"> </w:t>
      </w:r>
    </w:p>
    <w:p w:rsidR="00B77BE8" w:rsidRDefault="00B77BE8" w:rsidP="00B77BE8">
      <w:r>
        <w:t>The final suite of case studies, applications and services</w:t>
      </w:r>
      <w:r w:rsidR="0024639E">
        <w:t xml:space="preserve"> outlined here</w:t>
      </w:r>
      <w:r>
        <w:t xml:space="preserve"> all embrace these</w:t>
      </w:r>
      <w:r w:rsidR="0024639E">
        <w:t xml:space="preserve"> three core</w:t>
      </w:r>
      <w:r w:rsidR="00363691">
        <w:t xml:space="preserve"> “embedding” </w:t>
      </w:r>
      <w:r w:rsidR="0024639E">
        <w:t xml:space="preserve">principles and hopefully provide a sound platform </w:t>
      </w:r>
      <w:r w:rsidR="00363691">
        <w:t>for full institutional roll-out</w:t>
      </w:r>
      <w:r w:rsidR="0024639E">
        <w:t xml:space="preserve"> and long term cultural change. </w:t>
      </w:r>
    </w:p>
    <w:p w:rsidR="00062768" w:rsidRDefault="00520060" w:rsidP="00780AAA">
      <w:pPr>
        <w:pStyle w:val="Heading3"/>
      </w:pPr>
      <w:r>
        <w:t>Supporting data citation</w:t>
      </w:r>
    </w:p>
    <w:p w:rsidR="003701EB" w:rsidRDefault="004C1EEA" w:rsidP="004C1EEA">
      <w:r>
        <w:t xml:space="preserve">The testing of institutional use of the </w:t>
      </w:r>
      <w:proofErr w:type="spellStart"/>
      <w:r>
        <w:t>DataCite</w:t>
      </w:r>
      <w:proofErr w:type="spellEnd"/>
      <w:r>
        <w:t xml:space="preserve"> service, through the agency of the British Library, is a good example of the “innovation to service” model. Up to now the </w:t>
      </w:r>
      <w:proofErr w:type="spellStart"/>
      <w:r>
        <w:t>DataCite</w:t>
      </w:r>
      <w:proofErr w:type="spellEnd"/>
      <w:r>
        <w:t xml:space="preserve"> service has mainly been used by disciplinary Data Centres or publishers, so the British Library are currently reviewing some queries about the contract which we hope they will also find helpful as the context in which </w:t>
      </w:r>
      <w:proofErr w:type="spellStart"/>
      <w:r>
        <w:t>DataCite</w:t>
      </w:r>
      <w:proofErr w:type="spellEnd"/>
      <w:r>
        <w:t xml:space="preserve"> is implemented expands. Once we have signed to use the live service Crystallography will in the first instance use the service and help inform the development of institutional guidance as to when we will assign Southampton DOIs to data and at what level of granularity.</w:t>
      </w:r>
      <w:r w:rsidR="009D696A">
        <w:t xml:space="preserve"> As part of the project the test service has been used to develop tools which will aid DOI creation. </w:t>
      </w:r>
      <w:r w:rsidR="003701EB">
        <w:t>There are two tools developed and the third will be ready at project end.</w:t>
      </w:r>
    </w:p>
    <w:p w:rsidR="003701EB" w:rsidRPr="003701EB" w:rsidRDefault="003701EB" w:rsidP="003701EB">
      <w:pPr>
        <w:pStyle w:val="ListParagraph"/>
        <w:numPr>
          <w:ilvl w:val="0"/>
          <w:numId w:val="45"/>
        </w:numPr>
        <w:spacing w:after="0" w:line="240" w:lineRule="auto"/>
        <w:rPr>
          <w:rFonts w:ascii="Calibri" w:hAnsi="Calibri"/>
          <w:sz w:val="22"/>
          <w:szCs w:val="22"/>
        </w:rPr>
      </w:pPr>
      <w:r>
        <w:rPr>
          <w:rFonts w:ascii="Calibri" w:hAnsi="Calibri"/>
          <w:color w:val="000000"/>
          <w:sz w:val="21"/>
          <w:szCs w:val="21"/>
        </w:rPr>
        <w:t>Modification of</w:t>
      </w:r>
      <w:r w:rsidRPr="003701EB">
        <w:rPr>
          <w:rFonts w:ascii="Calibri" w:hAnsi="Calibri"/>
          <w:color w:val="000000"/>
          <w:sz w:val="21"/>
          <w:szCs w:val="21"/>
        </w:rPr>
        <w:t xml:space="preserve"> the current code in </w:t>
      </w:r>
      <w:r>
        <w:rPr>
          <w:rFonts w:ascii="Calibri" w:hAnsi="Calibri"/>
          <w:color w:val="000000"/>
          <w:sz w:val="21"/>
          <w:szCs w:val="21"/>
        </w:rPr>
        <w:t xml:space="preserve">the </w:t>
      </w:r>
      <w:proofErr w:type="spellStart"/>
      <w:r w:rsidRPr="003701EB">
        <w:rPr>
          <w:rFonts w:ascii="Calibri" w:hAnsi="Calibri"/>
          <w:color w:val="000000"/>
          <w:sz w:val="21"/>
          <w:szCs w:val="21"/>
        </w:rPr>
        <w:t>eCrystals</w:t>
      </w:r>
      <w:proofErr w:type="spellEnd"/>
      <w:r>
        <w:rPr>
          <w:rFonts w:ascii="Calibri" w:hAnsi="Calibri"/>
          <w:color w:val="000000"/>
          <w:sz w:val="21"/>
          <w:szCs w:val="21"/>
        </w:rPr>
        <w:t xml:space="preserve"> repository</w:t>
      </w:r>
      <w:r w:rsidRPr="003701EB">
        <w:rPr>
          <w:rFonts w:ascii="Calibri" w:hAnsi="Calibri"/>
          <w:color w:val="000000"/>
          <w:sz w:val="21"/>
          <w:szCs w:val="21"/>
        </w:rPr>
        <w:t xml:space="preserve">, which mints </w:t>
      </w:r>
      <w:proofErr w:type="spellStart"/>
      <w:r w:rsidRPr="003701EB">
        <w:rPr>
          <w:rFonts w:ascii="Calibri" w:hAnsi="Calibri"/>
          <w:color w:val="000000"/>
          <w:sz w:val="21"/>
          <w:szCs w:val="21"/>
        </w:rPr>
        <w:t>CrossRef</w:t>
      </w:r>
      <w:proofErr w:type="spellEnd"/>
      <w:r w:rsidRPr="003701EB">
        <w:rPr>
          <w:rFonts w:ascii="Calibri" w:hAnsi="Calibri"/>
          <w:color w:val="000000"/>
          <w:sz w:val="21"/>
          <w:szCs w:val="21"/>
        </w:rPr>
        <w:t xml:space="preserve"> DOIs. This is an independent set of scripts that run o</w:t>
      </w:r>
      <w:r>
        <w:rPr>
          <w:rFonts w:ascii="Calibri" w:hAnsi="Calibri"/>
          <w:color w:val="000000"/>
          <w:sz w:val="21"/>
          <w:szCs w:val="21"/>
        </w:rPr>
        <w:t xml:space="preserve">n top of Eprints code, </w:t>
      </w:r>
      <w:r w:rsidRPr="003701EB">
        <w:rPr>
          <w:rFonts w:ascii="Calibri" w:hAnsi="Calibri"/>
          <w:color w:val="000000"/>
          <w:sz w:val="21"/>
          <w:szCs w:val="21"/>
        </w:rPr>
        <w:t xml:space="preserve">because of the nature of Eprints embargoes </w:t>
      </w:r>
      <w:r>
        <w:rPr>
          <w:rFonts w:ascii="Calibri" w:hAnsi="Calibri"/>
          <w:color w:val="000000"/>
          <w:sz w:val="21"/>
          <w:szCs w:val="21"/>
        </w:rPr>
        <w:t>where these are in place. T</w:t>
      </w:r>
      <w:r w:rsidRPr="003701EB">
        <w:rPr>
          <w:rFonts w:ascii="Calibri" w:hAnsi="Calibri"/>
          <w:color w:val="000000"/>
          <w:sz w:val="21"/>
          <w:szCs w:val="21"/>
        </w:rPr>
        <w:t>ake</w:t>
      </w:r>
      <w:r>
        <w:rPr>
          <w:rFonts w:ascii="Calibri" w:hAnsi="Calibri"/>
          <w:color w:val="000000"/>
          <w:sz w:val="21"/>
          <w:szCs w:val="21"/>
        </w:rPr>
        <w:t>s</w:t>
      </w:r>
      <w:r w:rsidRPr="003701EB">
        <w:rPr>
          <w:rFonts w:ascii="Calibri" w:hAnsi="Calibri"/>
          <w:color w:val="000000"/>
          <w:sz w:val="21"/>
          <w:szCs w:val="21"/>
        </w:rPr>
        <w:t xml:space="preserve"> appropriate metadata, register</w:t>
      </w:r>
      <w:r>
        <w:rPr>
          <w:rFonts w:ascii="Calibri" w:hAnsi="Calibri"/>
          <w:color w:val="000000"/>
          <w:sz w:val="21"/>
          <w:szCs w:val="21"/>
        </w:rPr>
        <w:t>s</w:t>
      </w:r>
      <w:r w:rsidRPr="003701EB">
        <w:rPr>
          <w:rFonts w:ascii="Calibri" w:hAnsi="Calibri"/>
          <w:color w:val="000000"/>
          <w:sz w:val="21"/>
          <w:szCs w:val="21"/>
        </w:rPr>
        <w:t xml:space="preserve"> a DOI thro</w:t>
      </w:r>
      <w:r>
        <w:rPr>
          <w:rFonts w:ascii="Calibri" w:hAnsi="Calibri"/>
          <w:color w:val="000000"/>
          <w:sz w:val="21"/>
          <w:szCs w:val="21"/>
        </w:rPr>
        <w:t xml:space="preserve">ugh the </w:t>
      </w:r>
      <w:proofErr w:type="spellStart"/>
      <w:r>
        <w:rPr>
          <w:rFonts w:ascii="Calibri" w:hAnsi="Calibri"/>
          <w:color w:val="000000"/>
          <w:sz w:val="21"/>
          <w:szCs w:val="21"/>
        </w:rPr>
        <w:t>DataCite</w:t>
      </w:r>
      <w:proofErr w:type="spellEnd"/>
      <w:r>
        <w:rPr>
          <w:rFonts w:ascii="Calibri" w:hAnsi="Calibri"/>
          <w:color w:val="000000"/>
          <w:sz w:val="21"/>
          <w:szCs w:val="21"/>
        </w:rPr>
        <w:t xml:space="preserve"> API and displays</w:t>
      </w:r>
      <w:r w:rsidRPr="003701EB">
        <w:rPr>
          <w:rFonts w:ascii="Calibri" w:hAnsi="Calibri"/>
          <w:color w:val="000000"/>
          <w:sz w:val="21"/>
          <w:szCs w:val="21"/>
        </w:rPr>
        <w:t xml:space="preserve"> the DOI on the record in the r</w:t>
      </w:r>
      <w:r>
        <w:rPr>
          <w:rFonts w:ascii="Calibri" w:hAnsi="Calibri"/>
          <w:color w:val="000000"/>
          <w:sz w:val="21"/>
          <w:szCs w:val="21"/>
        </w:rPr>
        <w:t xml:space="preserve">epository - </w:t>
      </w:r>
      <w:r w:rsidRPr="003701EB">
        <w:rPr>
          <w:rFonts w:ascii="Calibri" w:hAnsi="Calibri"/>
          <w:color w:val="000000"/>
          <w:sz w:val="21"/>
          <w:szCs w:val="21"/>
        </w:rPr>
        <w:t xml:space="preserve">included in the OAI-PMH metadata. </w:t>
      </w:r>
    </w:p>
    <w:p w:rsidR="003701EB" w:rsidRPr="003701EB" w:rsidRDefault="003701EB" w:rsidP="003701EB">
      <w:pPr>
        <w:pStyle w:val="ListParagraph"/>
        <w:numPr>
          <w:ilvl w:val="0"/>
          <w:numId w:val="45"/>
        </w:numPr>
        <w:spacing w:after="0" w:line="240" w:lineRule="auto"/>
        <w:rPr>
          <w:rFonts w:ascii="Calibri" w:hAnsi="Calibri"/>
          <w:sz w:val="22"/>
          <w:szCs w:val="22"/>
        </w:rPr>
      </w:pPr>
      <w:proofErr w:type="spellStart"/>
      <w:r>
        <w:rPr>
          <w:rFonts w:ascii="Calibri" w:hAnsi="Calibri"/>
          <w:color w:val="000000"/>
          <w:sz w:val="21"/>
          <w:szCs w:val="21"/>
        </w:rPr>
        <w:t>EPrints</w:t>
      </w:r>
      <w:proofErr w:type="spellEnd"/>
      <w:r>
        <w:rPr>
          <w:rFonts w:ascii="Calibri" w:hAnsi="Calibri"/>
          <w:color w:val="000000"/>
          <w:sz w:val="21"/>
          <w:szCs w:val="21"/>
        </w:rPr>
        <w:t xml:space="preserve"> plug-in that</w:t>
      </w:r>
      <w:r w:rsidRPr="003701EB">
        <w:rPr>
          <w:rFonts w:ascii="Calibri" w:hAnsi="Calibri"/>
          <w:color w:val="000000"/>
          <w:sz w:val="21"/>
          <w:szCs w:val="21"/>
        </w:rPr>
        <w:t xml:space="preserve"> integrate</w:t>
      </w:r>
      <w:r>
        <w:rPr>
          <w:rFonts w:ascii="Calibri" w:hAnsi="Calibri"/>
          <w:color w:val="000000"/>
          <w:sz w:val="21"/>
          <w:szCs w:val="21"/>
        </w:rPr>
        <w:t>s</w:t>
      </w:r>
      <w:r w:rsidRPr="003701EB">
        <w:rPr>
          <w:rFonts w:ascii="Calibri" w:hAnsi="Calibri"/>
          <w:color w:val="000000"/>
          <w:sz w:val="21"/>
          <w:szCs w:val="21"/>
        </w:rPr>
        <w:t xml:space="preserve"> into</w:t>
      </w:r>
      <w:r>
        <w:rPr>
          <w:rFonts w:ascii="Calibri" w:hAnsi="Calibri"/>
          <w:color w:val="000000"/>
          <w:sz w:val="21"/>
          <w:szCs w:val="21"/>
        </w:rPr>
        <w:t xml:space="preserve"> the </w:t>
      </w:r>
      <w:proofErr w:type="spellStart"/>
      <w:r>
        <w:rPr>
          <w:rFonts w:ascii="Calibri" w:hAnsi="Calibri"/>
          <w:color w:val="000000"/>
          <w:sz w:val="21"/>
          <w:szCs w:val="21"/>
        </w:rPr>
        <w:t>EPrints</w:t>
      </w:r>
      <w:proofErr w:type="spellEnd"/>
      <w:r>
        <w:rPr>
          <w:rFonts w:ascii="Calibri" w:hAnsi="Calibri"/>
          <w:color w:val="000000"/>
          <w:sz w:val="21"/>
          <w:szCs w:val="21"/>
        </w:rPr>
        <w:t xml:space="preserve"> workflow.  T</w:t>
      </w:r>
      <w:r w:rsidRPr="003701EB">
        <w:rPr>
          <w:rFonts w:ascii="Calibri" w:hAnsi="Calibri"/>
          <w:color w:val="000000"/>
          <w:sz w:val="21"/>
          <w:szCs w:val="21"/>
        </w:rPr>
        <w:t>ake</w:t>
      </w:r>
      <w:r>
        <w:rPr>
          <w:rFonts w:ascii="Calibri" w:hAnsi="Calibri"/>
          <w:color w:val="000000"/>
          <w:sz w:val="21"/>
          <w:szCs w:val="21"/>
        </w:rPr>
        <w:t>s</w:t>
      </w:r>
      <w:r w:rsidRPr="003701EB">
        <w:rPr>
          <w:rFonts w:ascii="Calibri" w:hAnsi="Calibri"/>
          <w:color w:val="000000"/>
          <w:sz w:val="21"/>
          <w:szCs w:val="21"/>
        </w:rPr>
        <w:t xml:space="preserve"> appropriate metadata, register</w:t>
      </w:r>
      <w:r>
        <w:rPr>
          <w:rFonts w:ascii="Calibri" w:hAnsi="Calibri"/>
          <w:color w:val="000000"/>
          <w:sz w:val="21"/>
          <w:szCs w:val="21"/>
        </w:rPr>
        <w:t>s a DOI, displays</w:t>
      </w:r>
      <w:r w:rsidRPr="003701EB">
        <w:rPr>
          <w:rFonts w:ascii="Calibri" w:hAnsi="Calibri"/>
          <w:color w:val="000000"/>
          <w:sz w:val="21"/>
          <w:szCs w:val="21"/>
        </w:rPr>
        <w:t xml:space="preserve"> the DOI on the record jump-off page and include</w:t>
      </w:r>
      <w:r>
        <w:rPr>
          <w:rFonts w:ascii="Calibri" w:hAnsi="Calibri"/>
          <w:color w:val="000000"/>
          <w:sz w:val="21"/>
          <w:szCs w:val="21"/>
        </w:rPr>
        <w:t>s</w:t>
      </w:r>
      <w:r w:rsidRPr="003701EB">
        <w:rPr>
          <w:rFonts w:ascii="Calibri" w:hAnsi="Calibri"/>
          <w:color w:val="000000"/>
          <w:sz w:val="21"/>
          <w:szCs w:val="21"/>
        </w:rPr>
        <w:t xml:space="preserve"> in the OAI-PMH metadata</w:t>
      </w:r>
      <w:r>
        <w:rPr>
          <w:rFonts w:ascii="Calibri" w:hAnsi="Calibri"/>
          <w:color w:val="000000"/>
          <w:sz w:val="21"/>
          <w:szCs w:val="21"/>
        </w:rPr>
        <w:t xml:space="preserve">.  (Available through </w:t>
      </w:r>
      <w:proofErr w:type="spellStart"/>
      <w:r>
        <w:rPr>
          <w:rFonts w:ascii="Calibri" w:hAnsi="Calibri"/>
          <w:color w:val="000000"/>
          <w:sz w:val="21"/>
          <w:szCs w:val="21"/>
        </w:rPr>
        <w:t>EPrints</w:t>
      </w:r>
      <w:proofErr w:type="spellEnd"/>
      <w:r>
        <w:rPr>
          <w:rFonts w:ascii="Calibri" w:hAnsi="Calibri"/>
          <w:color w:val="000000"/>
          <w:sz w:val="21"/>
          <w:szCs w:val="21"/>
        </w:rPr>
        <w:t xml:space="preserve"> Bazaar)</w:t>
      </w:r>
    </w:p>
    <w:p w:rsidR="003701EB" w:rsidRPr="003701EB" w:rsidRDefault="003701EB" w:rsidP="003701EB">
      <w:pPr>
        <w:pStyle w:val="ListParagraph"/>
        <w:numPr>
          <w:ilvl w:val="0"/>
          <w:numId w:val="45"/>
        </w:numPr>
        <w:spacing w:after="0" w:line="240" w:lineRule="auto"/>
        <w:rPr>
          <w:rFonts w:ascii="Calibri" w:hAnsi="Calibri"/>
          <w:sz w:val="22"/>
          <w:szCs w:val="22"/>
        </w:rPr>
      </w:pPr>
      <w:r w:rsidRPr="003701EB">
        <w:rPr>
          <w:rFonts w:ascii="Calibri" w:hAnsi="Calibri"/>
          <w:color w:val="000000"/>
          <w:sz w:val="21"/>
          <w:szCs w:val="21"/>
        </w:rPr>
        <w:t>Export</w:t>
      </w:r>
      <w:r>
        <w:rPr>
          <w:rFonts w:ascii="Calibri" w:hAnsi="Calibri"/>
          <w:color w:val="000000"/>
          <w:sz w:val="21"/>
          <w:szCs w:val="21"/>
        </w:rPr>
        <w:t>s</w:t>
      </w:r>
      <w:r w:rsidRPr="003701EB">
        <w:rPr>
          <w:rFonts w:ascii="Calibri" w:hAnsi="Calibri"/>
          <w:color w:val="000000"/>
          <w:sz w:val="21"/>
          <w:szCs w:val="21"/>
        </w:rPr>
        <w:t xml:space="preserve"> a selection of </w:t>
      </w:r>
      <w:proofErr w:type="spellStart"/>
      <w:r w:rsidRPr="003701EB">
        <w:rPr>
          <w:rFonts w:ascii="Calibri" w:hAnsi="Calibri"/>
          <w:color w:val="000000"/>
          <w:sz w:val="21"/>
          <w:szCs w:val="21"/>
        </w:rPr>
        <w:t>LabTrove</w:t>
      </w:r>
      <w:proofErr w:type="spellEnd"/>
      <w:r>
        <w:rPr>
          <w:rFonts w:ascii="Calibri" w:hAnsi="Calibri"/>
          <w:color w:val="000000"/>
          <w:sz w:val="21"/>
          <w:szCs w:val="21"/>
        </w:rPr>
        <w:t xml:space="preserve"> Electronic Lab Notebook </w:t>
      </w:r>
      <w:r w:rsidRPr="003701EB">
        <w:rPr>
          <w:rFonts w:ascii="Calibri" w:hAnsi="Calibri"/>
          <w:color w:val="000000"/>
          <w:sz w:val="21"/>
          <w:szCs w:val="21"/>
        </w:rPr>
        <w:t xml:space="preserve"> records as static HTML, generate</w:t>
      </w:r>
      <w:r w:rsidR="005C1F3D">
        <w:rPr>
          <w:rFonts w:ascii="Calibri" w:hAnsi="Calibri"/>
          <w:color w:val="000000"/>
          <w:sz w:val="21"/>
          <w:szCs w:val="21"/>
        </w:rPr>
        <w:t>s</w:t>
      </w:r>
      <w:r w:rsidRPr="003701EB">
        <w:rPr>
          <w:rFonts w:ascii="Calibri" w:hAnsi="Calibri"/>
          <w:color w:val="000000"/>
          <w:sz w:val="21"/>
          <w:szCs w:val="21"/>
        </w:rPr>
        <w:t xml:space="preserve"> appropriate metadata, assign</w:t>
      </w:r>
      <w:r w:rsidR="005C1F3D">
        <w:rPr>
          <w:rFonts w:ascii="Calibri" w:hAnsi="Calibri"/>
          <w:color w:val="000000"/>
          <w:sz w:val="21"/>
          <w:szCs w:val="21"/>
        </w:rPr>
        <w:t>s</w:t>
      </w:r>
      <w:r w:rsidRPr="003701EB">
        <w:rPr>
          <w:rFonts w:ascii="Calibri" w:hAnsi="Calibri"/>
          <w:color w:val="000000"/>
          <w:sz w:val="21"/>
          <w:szCs w:val="21"/>
        </w:rPr>
        <w:t xml:space="preserve"> and register</w:t>
      </w:r>
      <w:r w:rsidR="005C1F3D">
        <w:rPr>
          <w:rFonts w:ascii="Calibri" w:hAnsi="Calibri"/>
          <w:color w:val="000000"/>
          <w:sz w:val="21"/>
          <w:szCs w:val="21"/>
        </w:rPr>
        <w:t>s</w:t>
      </w:r>
      <w:r w:rsidRPr="003701EB">
        <w:rPr>
          <w:rFonts w:ascii="Calibri" w:hAnsi="Calibri"/>
          <w:color w:val="000000"/>
          <w:sz w:val="21"/>
          <w:szCs w:val="21"/>
        </w:rPr>
        <w:t xml:space="preserve"> DOI, generate</w:t>
      </w:r>
      <w:r w:rsidR="005C1F3D">
        <w:rPr>
          <w:rFonts w:ascii="Calibri" w:hAnsi="Calibri"/>
          <w:color w:val="000000"/>
          <w:sz w:val="21"/>
          <w:szCs w:val="21"/>
        </w:rPr>
        <w:t>s</w:t>
      </w:r>
      <w:r w:rsidRPr="003701EB">
        <w:rPr>
          <w:rFonts w:ascii="Calibri" w:hAnsi="Calibri"/>
          <w:color w:val="000000"/>
          <w:sz w:val="21"/>
          <w:szCs w:val="21"/>
        </w:rPr>
        <w:t xml:space="preserve"> "presentation quality" view with appropriate </w:t>
      </w:r>
      <w:proofErr w:type="spellStart"/>
      <w:r w:rsidRPr="003701EB">
        <w:rPr>
          <w:rFonts w:ascii="Calibri" w:hAnsi="Calibri"/>
          <w:color w:val="000000"/>
          <w:sz w:val="21"/>
          <w:szCs w:val="21"/>
        </w:rPr>
        <w:t>stylesheeting</w:t>
      </w:r>
      <w:proofErr w:type="spellEnd"/>
      <w:r w:rsidRPr="003701EB">
        <w:rPr>
          <w:rFonts w:ascii="Calibri" w:hAnsi="Calibri"/>
          <w:color w:val="000000"/>
          <w:sz w:val="21"/>
          <w:szCs w:val="21"/>
        </w:rPr>
        <w:t xml:space="preserve"> and title/metadata/DOI display, serve</w:t>
      </w:r>
      <w:r w:rsidR="005C1F3D">
        <w:rPr>
          <w:rFonts w:ascii="Calibri" w:hAnsi="Calibri"/>
          <w:color w:val="000000"/>
          <w:sz w:val="21"/>
          <w:szCs w:val="21"/>
        </w:rPr>
        <w:t>s</w:t>
      </w:r>
      <w:r w:rsidRPr="003701EB">
        <w:rPr>
          <w:rFonts w:ascii="Calibri" w:hAnsi="Calibri"/>
          <w:color w:val="000000"/>
          <w:sz w:val="21"/>
          <w:szCs w:val="21"/>
        </w:rPr>
        <w:t xml:space="preserve"> up as page associated with the originating Trove. </w:t>
      </w:r>
      <w:r w:rsidR="005C1F3D">
        <w:rPr>
          <w:rFonts w:ascii="Calibri" w:hAnsi="Calibri"/>
          <w:color w:val="000000"/>
          <w:sz w:val="21"/>
          <w:szCs w:val="21"/>
        </w:rPr>
        <w:t xml:space="preserve">At project end there will be a </w:t>
      </w:r>
      <w:r w:rsidRPr="003701EB">
        <w:rPr>
          <w:rFonts w:ascii="Calibri" w:hAnsi="Calibri"/>
          <w:color w:val="000000"/>
          <w:sz w:val="21"/>
          <w:szCs w:val="21"/>
        </w:rPr>
        <w:t xml:space="preserve">demonstrator </w:t>
      </w:r>
      <w:r w:rsidR="005C1F3D">
        <w:rPr>
          <w:rFonts w:ascii="Calibri" w:hAnsi="Calibri"/>
          <w:color w:val="000000"/>
          <w:sz w:val="21"/>
          <w:szCs w:val="21"/>
        </w:rPr>
        <w:t xml:space="preserve">service with the aim that additional funds will </w:t>
      </w:r>
      <w:r w:rsidRPr="003701EB">
        <w:rPr>
          <w:rFonts w:ascii="Calibri" w:hAnsi="Calibri"/>
          <w:color w:val="000000"/>
          <w:sz w:val="21"/>
          <w:szCs w:val="21"/>
        </w:rPr>
        <w:t xml:space="preserve">make it </w:t>
      </w:r>
      <w:r w:rsidRPr="003701EB">
        <w:rPr>
          <w:rFonts w:ascii="Calibri" w:hAnsi="Calibri"/>
          <w:color w:val="000000"/>
          <w:sz w:val="21"/>
          <w:szCs w:val="21"/>
        </w:rPr>
        <w:lastRenderedPageBreak/>
        <w:t xml:space="preserve">robust enough to go into the general release codebase </w:t>
      </w:r>
      <w:r w:rsidR="005C1F3D">
        <w:rPr>
          <w:rFonts w:ascii="Calibri" w:hAnsi="Calibri"/>
          <w:color w:val="000000"/>
          <w:sz w:val="21"/>
          <w:szCs w:val="21"/>
        </w:rPr>
        <w:t>, which could be part of the wider launch</w:t>
      </w:r>
      <w:r w:rsidR="00B77BE8">
        <w:rPr>
          <w:rFonts w:ascii="Calibri" w:hAnsi="Calibri"/>
          <w:color w:val="000000"/>
          <w:sz w:val="21"/>
          <w:szCs w:val="21"/>
        </w:rPr>
        <w:t xml:space="preserve"> of </w:t>
      </w:r>
      <w:proofErr w:type="spellStart"/>
      <w:r w:rsidR="00B77BE8">
        <w:rPr>
          <w:rFonts w:ascii="Calibri" w:hAnsi="Calibri"/>
          <w:color w:val="000000"/>
          <w:sz w:val="21"/>
          <w:szCs w:val="21"/>
        </w:rPr>
        <w:t>LabTrove</w:t>
      </w:r>
      <w:proofErr w:type="spellEnd"/>
      <w:r w:rsidR="00B77BE8">
        <w:rPr>
          <w:rFonts w:ascii="Calibri" w:hAnsi="Calibri"/>
          <w:color w:val="000000"/>
          <w:sz w:val="21"/>
          <w:szCs w:val="21"/>
        </w:rPr>
        <w:t xml:space="preserve"> as a fully scoped</w:t>
      </w:r>
      <w:r w:rsidR="005C1F3D">
        <w:rPr>
          <w:rFonts w:ascii="Calibri" w:hAnsi="Calibri"/>
          <w:color w:val="000000"/>
          <w:sz w:val="21"/>
          <w:szCs w:val="21"/>
        </w:rPr>
        <w:t xml:space="preserve"> cloud-based s</w:t>
      </w:r>
      <w:r w:rsidR="007F41BC">
        <w:rPr>
          <w:rFonts w:ascii="Calibri" w:hAnsi="Calibri"/>
          <w:color w:val="000000"/>
          <w:sz w:val="21"/>
          <w:szCs w:val="21"/>
        </w:rPr>
        <w:t xml:space="preserve">ervice with third party support. </w:t>
      </w:r>
      <w:r w:rsidR="00BE5833">
        <w:rPr>
          <w:rFonts w:ascii="Calibri" w:hAnsi="Calibri"/>
          <w:color w:val="000000"/>
          <w:sz w:val="21"/>
          <w:szCs w:val="21"/>
        </w:rPr>
        <w:t xml:space="preserve"> (DOI tools summary, Simon Coles)</w:t>
      </w:r>
    </w:p>
    <w:p w:rsidR="003701EB" w:rsidRDefault="003701EB" w:rsidP="004C1EEA"/>
    <w:p w:rsidR="009A3A08" w:rsidRDefault="00520060" w:rsidP="00780AAA">
      <w:pPr>
        <w:pStyle w:val="Heading3"/>
      </w:pPr>
      <w:r>
        <w:t>Case studies: facilitating data creation, sharing and impact</w:t>
      </w:r>
    </w:p>
    <w:p w:rsidR="00DE5CCE" w:rsidRDefault="00520060" w:rsidP="00DE5CCE">
      <w:pPr>
        <w:rPr>
          <w:rStyle w:val="Strong"/>
        </w:rPr>
      </w:pPr>
      <w:r>
        <w:rPr>
          <w:rStyle w:val="Strong"/>
        </w:rPr>
        <w:t>Imaging</w:t>
      </w:r>
    </w:p>
    <w:p w:rsidR="00892BEC" w:rsidRDefault="00B77BE8" w:rsidP="00B77BE8">
      <w:r>
        <w:t>The strength of the investigation of</w:t>
      </w:r>
      <w:r w:rsidR="005C1F3D">
        <w:t xml:space="preserve"> 2D and</w:t>
      </w:r>
      <w:r>
        <w:t xml:space="preserve"> 3D imaging requirements has been the reach across </w:t>
      </w:r>
      <w:r w:rsidR="005C1F3D">
        <w:t xml:space="preserve">disciplines </w:t>
      </w:r>
      <w:r>
        <w:t xml:space="preserve">and multi-disciplinary perspective. The </w:t>
      </w:r>
      <w:r w:rsidR="005C1F3D">
        <w:t>combination of desk res</w:t>
      </w:r>
      <w:r>
        <w:t xml:space="preserve">earch and interviews with staff has provided a rich evidence base. </w:t>
      </w:r>
      <w:r w:rsidR="00892BEC">
        <w:t>Key findings include:</w:t>
      </w:r>
    </w:p>
    <w:p w:rsidR="00892BEC" w:rsidRDefault="00892BEC" w:rsidP="00892BEC">
      <w:pPr>
        <w:pStyle w:val="ListParagraph"/>
        <w:numPr>
          <w:ilvl w:val="0"/>
          <w:numId w:val="46"/>
        </w:numPr>
      </w:pPr>
      <w:r>
        <w:t>Lack of knowledge of existing facilities</w:t>
      </w:r>
    </w:p>
    <w:p w:rsidR="00892BEC" w:rsidRDefault="00892BEC" w:rsidP="00892BEC">
      <w:pPr>
        <w:pStyle w:val="ListParagraph"/>
        <w:numPr>
          <w:ilvl w:val="0"/>
          <w:numId w:val="46"/>
        </w:numPr>
      </w:pPr>
      <w:r>
        <w:t>Many examples of innovative practice, but problem solving focussed on individuals and smaller research groups</w:t>
      </w:r>
    </w:p>
    <w:p w:rsidR="007B51CA" w:rsidRPr="007B51CA" w:rsidRDefault="00C10B00" w:rsidP="00B77BE8">
      <w:pPr>
        <w:pStyle w:val="ListParagraph"/>
        <w:numPr>
          <w:ilvl w:val="0"/>
          <w:numId w:val="46"/>
        </w:numPr>
        <w:rPr>
          <w:rFonts w:eastAsia="Verdana" w:cs="Verdana"/>
          <w:szCs w:val="18"/>
        </w:rPr>
      </w:pPr>
      <w:r w:rsidRPr="00C10B00">
        <w:rPr>
          <w:rFonts w:cs="Tahoma"/>
          <w:color w:val="000000"/>
          <w:szCs w:val="18"/>
        </w:rPr>
        <w:t>A rapid expansion (projected to continue) in the creation and use of 3D data driven by investment in new equipment</w:t>
      </w:r>
    </w:p>
    <w:p w:rsidR="007B51CA" w:rsidRPr="007B51CA" w:rsidRDefault="007B51CA" w:rsidP="007B51CA">
      <w:pPr>
        <w:pStyle w:val="ListParagraph"/>
        <w:rPr>
          <w:rFonts w:eastAsia="Verdana" w:cs="Verdana"/>
          <w:szCs w:val="18"/>
        </w:rPr>
      </w:pPr>
    </w:p>
    <w:p w:rsidR="00892BEC" w:rsidRPr="007B51CA" w:rsidRDefault="00892BEC" w:rsidP="007B51CA">
      <w:pPr>
        <w:rPr>
          <w:rFonts w:eastAsia="Verdana" w:cs="Verdana"/>
          <w:szCs w:val="18"/>
        </w:rPr>
      </w:pPr>
      <w:r w:rsidRPr="007B51CA">
        <w:rPr>
          <w:rFonts w:eastAsia="Verdana" w:cs="Verdana"/>
          <w:szCs w:val="18"/>
        </w:rPr>
        <w:t>Outputs include:</w:t>
      </w:r>
    </w:p>
    <w:p w:rsidR="00892BEC" w:rsidRPr="005B29F5" w:rsidRDefault="005C1F3D" w:rsidP="005B29F5">
      <w:pPr>
        <w:pStyle w:val="ListParagraph"/>
        <w:numPr>
          <w:ilvl w:val="0"/>
          <w:numId w:val="47"/>
        </w:numPr>
        <w:rPr>
          <w:rStyle w:val="Strong"/>
          <w:rFonts w:cs="Arial"/>
          <w:b w:val="0"/>
          <w:bCs w:val="0"/>
          <w:sz w:val="26"/>
          <w:szCs w:val="26"/>
        </w:rPr>
      </w:pPr>
      <w:r w:rsidRPr="005B29F5">
        <w:rPr>
          <w:rFonts w:eastAsia="Verdana" w:cs="Verdana"/>
          <w:szCs w:val="18"/>
        </w:rPr>
        <w:t>Comprehensive list of all facilities and software at the University of Southampton, which are used in the production or processing of raster data</w:t>
      </w:r>
      <w:r w:rsidR="00892BEC" w:rsidRPr="005B29F5">
        <w:rPr>
          <w:rFonts w:eastAsia="Verdana" w:cs="Verdana"/>
          <w:szCs w:val="18"/>
        </w:rPr>
        <w:t xml:space="preserve"> – these will be added where relevant to the open data equipment listing from the Southampton-led EPSRC funded Research Facilities and Equipment Sharing Project. There is already evidence that improved knowledge of equipment has resulted in better use and thus value for money.  </w:t>
      </w:r>
    </w:p>
    <w:p w:rsidR="005C1F3D" w:rsidRPr="005B29F5" w:rsidRDefault="005C1F3D" w:rsidP="005B29F5">
      <w:pPr>
        <w:pStyle w:val="ListParagraph"/>
        <w:numPr>
          <w:ilvl w:val="0"/>
          <w:numId w:val="47"/>
        </w:numPr>
        <w:rPr>
          <w:rFonts w:cs="Arial"/>
          <w:sz w:val="26"/>
          <w:szCs w:val="26"/>
        </w:rPr>
      </w:pPr>
      <w:r w:rsidRPr="005B29F5">
        <w:rPr>
          <w:rFonts w:eastAsia="Verdana" w:cs="Verdana"/>
          <w:szCs w:val="18"/>
        </w:rPr>
        <w:t xml:space="preserve">Summary document describing workflows of </w:t>
      </w:r>
      <w:r w:rsidR="007B51CA">
        <w:rPr>
          <w:rFonts w:eastAsia="Verdana" w:cs="Verdana"/>
          <w:szCs w:val="18"/>
        </w:rPr>
        <w:t xml:space="preserve">3D and </w:t>
      </w:r>
      <w:r w:rsidRPr="005B29F5">
        <w:rPr>
          <w:rFonts w:eastAsia="Verdana" w:cs="Verdana"/>
          <w:szCs w:val="18"/>
        </w:rPr>
        <w:t>raster data producers/users from point of data capture/acquisition through to point of archiving</w:t>
      </w:r>
    </w:p>
    <w:p w:rsidR="005C1F3D" w:rsidRPr="005B29F5" w:rsidRDefault="005C1F3D" w:rsidP="005B29F5">
      <w:pPr>
        <w:pStyle w:val="ListParagraph"/>
        <w:numPr>
          <w:ilvl w:val="0"/>
          <w:numId w:val="47"/>
        </w:numPr>
        <w:rPr>
          <w:rFonts w:eastAsia="Verdana" w:cs="Verdana"/>
          <w:szCs w:val="18"/>
        </w:rPr>
      </w:pPr>
      <w:r w:rsidRPr="005B29F5">
        <w:rPr>
          <w:rFonts w:eastAsia="Verdana" w:cs="Verdana"/>
          <w:szCs w:val="18"/>
        </w:rPr>
        <w:t xml:space="preserve">Advisory documentation detailing best practice to </w:t>
      </w:r>
      <w:r w:rsidR="007B51CA">
        <w:rPr>
          <w:rFonts w:eastAsia="Verdana" w:cs="Verdana"/>
          <w:szCs w:val="18"/>
        </w:rPr>
        <w:t xml:space="preserve">3D and </w:t>
      </w:r>
      <w:r w:rsidRPr="005B29F5">
        <w:rPr>
          <w:rFonts w:eastAsia="Verdana" w:cs="Verdana"/>
          <w:szCs w:val="18"/>
        </w:rPr>
        <w:t>raster data producers/users a</w:t>
      </w:r>
      <w:r w:rsidR="00892BEC" w:rsidRPr="005B29F5">
        <w:rPr>
          <w:rFonts w:eastAsia="Verdana" w:cs="Verdana"/>
          <w:szCs w:val="18"/>
        </w:rPr>
        <w:t>t the University of Southampton</w:t>
      </w:r>
    </w:p>
    <w:p w:rsidR="00892BEC" w:rsidRDefault="00892BEC" w:rsidP="005B29F5">
      <w:pPr>
        <w:pStyle w:val="ListParagraph"/>
        <w:numPr>
          <w:ilvl w:val="0"/>
          <w:numId w:val="47"/>
        </w:numPr>
        <w:rPr>
          <w:rFonts w:eastAsia="Verdana" w:cs="Verdana"/>
          <w:szCs w:val="18"/>
        </w:rPr>
      </w:pPr>
      <w:r w:rsidRPr="005B29F5">
        <w:rPr>
          <w:rFonts w:eastAsia="Verdana" w:cs="Verdana"/>
          <w:szCs w:val="18"/>
        </w:rPr>
        <w:t>Recommendations for improved communication across disciplines for sharing solutions and facilitating a multidisciplinary approach to problem-</w:t>
      </w:r>
      <w:r w:rsidR="005B29F5" w:rsidRPr="005B29F5">
        <w:rPr>
          <w:rFonts w:eastAsia="Verdana" w:cs="Verdana"/>
          <w:szCs w:val="18"/>
        </w:rPr>
        <w:t>solving and creativity</w:t>
      </w:r>
    </w:p>
    <w:p w:rsidR="00AC76D6" w:rsidRDefault="00AC76D6" w:rsidP="00D840D0"/>
    <w:p w:rsidR="00C84640" w:rsidRDefault="00520060" w:rsidP="00C84640">
      <w:pPr>
        <w:rPr>
          <w:b/>
        </w:rPr>
      </w:pPr>
      <w:r w:rsidRPr="00520060">
        <w:rPr>
          <w:b/>
        </w:rPr>
        <w:t>Impact</w:t>
      </w:r>
    </w:p>
    <w:p w:rsidR="005B29F5" w:rsidRPr="005B29F5" w:rsidRDefault="005B29F5" w:rsidP="00BE5833">
      <w:pPr>
        <w:rPr>
          <w:bCs/>
        </w:rPr>
      </w:pPr>
      <w:r>
        <w:rPr>
          <w:bCs/>
        </w:rPr>
        <w:t xml:space="preserve">This is an example of academic and service partnership with the Library, iSolutions and the Centre for Population Change collaborating to scope, build and make public migration data in a way that allows the data to be queried as an interactive tool and presented with contextual information. The use of the database will be evaluated for long </w:t>
      </w:r>
      <w:r w:rsidR="00BE5833">
        <w:rPr>
          <w:bCs/>
        </w:rPr>
        <w:t xml:space="preserve">term user engagement and impact.  This work along with feedback from Data Management Planning support, shows that demand for  web-based visualisation and manipulation tools will increase and there are lessons to be learned in terms of resource to support this and compatibility of platforms and services. </w:t>
      </w:r>
    </w:p>
    <w:p w:rsidR="00C84640" w:rsidRDefault="00C84640" w:rsidP="00C84640">
      <w:pPr>
        <w:rPr>
          <w:b/>
        </w:rPr>
      </w:pPr>
    </w:p>
    <w:p w:rsidR="00AC76D6" w:rsidRDefault="00C84640" w:rsidP="00C84640">
      <w:pPr>
        <w:rPr>
          <w:b/>
        </w:rPr>
      </w:pPr>
      <w:r>
        <w:rPr>
          <w:b/>
        </w:rPr>
        <w:t>Twitter</w:t>
      </w:r>
      <w:r w:rsidR="00BE5833">
        <w:rPr>
          <w:b/>
        </w:rPr>
        <w:t xml:space="preserve"> sharing and archiving</w:t>
      </w:r>
    </w:p>
    <w:p w:rsidR="00C84640" w:rsidRPr="00C84640" w:rsidRDefault="00BE5833" w:rsidP="00EE660C">
      <w:r>
        <w:t xml:space="preserve">This has also </w:t>
      </w:r>
      <w:r w:rsidR="00EE660C">
        <w:t xml:space="preserve">emerged from a partnership involving </w:t>
      </w:r>
      <w:r w:rsidR="00C84640" w:rsidRPr="00C84640">
        <w:t>U</w:t>
      </w:r>
      <w:r w:rsidR="00C10B00">
        <w:t xml:space="preserve">niversity </w:t>
      </w:r>
      <w:r w:rsidR="00C84640" w:rsidRPr="00C84640">
        <w:t>S</w:t>
      </w:r>
      <w:r w:rsidR="00C10B00">
        <w:t xml:space="preserve">trategic </w:t>
      </w:r>
      <w:r w:rsidR="00C84640" w:rsidRPr="00C84640">
        <w:t>R</w:t>
      </w:r>
      <w:r w:rsidR="00C10B00">
        <w:t xml:space="preserve">esearch </w:t>
      </w:r>
      <w:r w:rsidR="00C84640" w:rsidRPr="00C84640">
        <w:t>G</w:t>
      </w:r>
      <w:r w:rsidR="00C10B00">
        <w:t>roup</w:t>
      </w:r>
      <w:r w:rsidR="00C84640" w:rsidRPr="00C84640">
        <w:t>s,</w:t>
      </w:r>
      <w:r w:rsidR="00EE660C">
        <w:t xml:space="preserve"> academic projects in digital humanities, </w:t>
      </w:r>
      <w:r w:rsidR="00C84640" w:rsidRPr="00C84640">
        <w:t>C</w:t>
      </w:r>
      <w:r w:rsidR="00C10B00">
        <w:t xml:space="preserve">entre for </w:t>
      </w:r>
      <w:r w:rsidR="00C84640" w:rsidRPr="00C84640">
        <w:t>I</w:t>
      </w:r>
      <w:r w:rsidR="00C10B00">
        <w:t xml:space="preserve">nnovation in </w:t>
      </w:r>
      <w:r w:rsidR="00C84640" w:rsidRPr="00C84640">
        <w:t>T</w:t>
      </w:r>
      <w:r w:rsidR="00C10B00">
        <w:t xml:space="preserve">echnologies and </w:t>
      </w:r>
      <w:r w:rsidR="00C84640" w:rsidRPr="00C84640">
        <w:t>E</w:t>
      </w:r>
      <w:r w:rsidR="00C10B00">
        <w:t>ducation</w:t>
      </w:r>
      <w:r w:rsidR="00C84640" w:rsidRPr="00C84640">
        <w:t>, Student Digital</w:t>
      </w:r>
      <w:r w:rsidR="00EE660C">
        <w:t xml:space="preserve"> Champions and</w:t>
      </w:r>
      <w:r w:rsidR="00C84640" w:rsidRPr="00C84640">
        <w:t xml:space="preserve"> </w:t>
      </w:r>
      <w:r w:rsidR="00EE660C">
        <w:t xml:space="preserve">an </w:t>
      </w:r>
      <w:r w:rsidR="00C84640" w:rsidRPr="00C84640">
        <w:t xml:space="preserve">agile development </w:t>
      </w:r>
      <w:r w:rsidR="00EE660C">
        <w:t xml:space="preserve">approach from iSolutions. The result has been the launch of a twitter harvesting service using </w:t>
      </w:r>
      <w:proofErr w:type="spellStart"/>
      <w:r w:rsidR="00EE660C">
        <w:t>EPrints</w:t>
      </w:r>
      <w:proofErr w:type="spellEnd"/>
      <w:r w:rsidR="00EE660C">
        <w:t xml:space="preserve">, for institutional research purposes in line with Twitter terms and conditions. This has already provided an archiving service for large scale conferences and for key individual and group accounts, acting as a rich resource base for analysis. </w:t>
      </w:r>
    </w:p>
    <w:p w:rsidR="005C1F3D" w:rsidRDefault="00730942" w:rsidP="00EE660C">
      <w:pPr>
        <w:pStyle w:val="Heading3"/>
      </w:pPr>
      <w:r>
        <w:t>Training</w:t>
      </w:r>
    </w:p>
    <w:p w:rsidR="00363691" w:rsidRDefault="00EE660C" w:rsidP="00C03435">
      <w:pPr>
        <w:rPr>
          <w:rFonts w:eastAsia="Verdana"/>
        </w:rPr>
      </w:pPr>
      <w:r>
        <w:rPr>
          <w:rFonts w:eastAsia="Verdana"/>
        </w:rPr>
        <w:t>By the end of March the full training model outlined at the previous Steering Group me</w:t>
      </w:r>
      <w:r w:rsidR="00C03435">
        <w:rPr>
          <w:rFonts w:eastAsia="Verdana"/>
        </w:rPr>
        <w:t>eting will have been delivered and tested across a range of disciplines and target groups.</w:t>
      </w:r>
      <w:r w:rsidR="00082921">
        <w:rPr>
          <w:rFonts w:eastAsia="Verdana"/>
        </w:rPr>
        <w:t xml:space="preserve"> The feedback from these sessions will help with iterative development and has involved a partnership approach with staff from the Library, PhD researchers and academic staff all involved. The training approach and material is evolving, with the “Introducing Research Data” guide, previously circulated, as a core resource </w:t>
      </w:r>
      <w:hyperlink r:id="rId8" w:history="1">
        <w:r w:rsidR="00082921" w:rsidRPr="004F4697">
          <w:rPr>
            <w:rStyle w:val="Hyperlink"/>
            <w:rFonts w:eastAsia="Verdana"/>
          </w:rPr>
          <w:t>http://eprints.soton.ac.uk/338816/</w:t>
        </w:r>
      </w:hyperlink>
    </w:p>
    <w:p w:rsidR="00363691" w:rsidRDefault="00363691" w:rsidP="00C03435">
      <w:pPr>
        <w:rPr>
          <w:rFonts w:eastAsia="Verdana"/>
        </w:rPr>
      </w:pPr>
      <w:r w:rsidRPr="00074D54">
        <w:rPr>
          <w:rFonts w:eastAsia="Verdana"/>
          <w:noProof/>
        </w:rPr>
        <w:lastRenderedPageBreak/>
        <mc:AlternateContent>
          <mc:Choice Requires="wps">
            <w:drawing>
              <wp:anchor distT="0" distB="0" distL="114300" distR="114300" simplePos="0" relativeHeight="251659264" behindDoc="0" locked="0" layoutInCell="0" allowOverlap="1" wp14:anchorId="47382996" wp14:editId="50A02DF1">
                <wp:simplePos x="0" y="0"/>
                <wp:positionH relativeFrom="page">
                  <wp:posOffset>1228090</wp:posOffset>
                </wp:positionH>
                <wp:positionV relativeFrom="page">
                  <wp:posOffset>368300</wp:posOffset>
                </wp:positionV>
                <wp:extent cx="4769485" cy="2381250"/>
                <wp:effectExtent l="38100" t="38100" r="31115" b="3810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85" cy="238125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074D54" w:rsidRDefault="00074D54" w:rsidP="00074D54">
                            <w:pPr>
                              <w:rPr>
                                <w:rFonts w:eastAsia="Verdana"/>
                              </w:rPr>
                            </w:pPr>
                            <w:r>
                              <w:rPr>
                                <w:rFonts w:eastAsia="Verdana"/>
                              </w:rPr>
                              <w:t>Focus on Data Management Planning - PIs – Medicine and Health Sciences</w:t>
                            </w:r>
                          </w:p>
                          <w:p w:rsidR="00074D54" w:rsidRDefault="00074D54" w:rsidP="00074D54">
                            <w:pPr>
                              <w:rPr>
                                <w:rFonts w:eastAsia="Verdana"/>
                              </w:rPr>
                            </w:pPr>
                            <w:r>
                              <w:rPr>
                                <w:rFonts w:eastAsia="Verdana"/>
                              </w:rPr>
                              <w:t>First principles for Research Data Management - PhD – Researcher Development Graduate Centre (multidisciplinary)</w:t>
                            </w:r>
                          </w:p>
                          <w:p w:rsidR="00074D54" w:rsidRDefault="00074D54" w:rsidP="00074D54">
                            <w:pPr>
                              <w:rPr>
                                <w:rFonts w:eastAsia="Verdana"/>
                              </w:rPr>
                            </w:pPr>
                            <w:r>
                              <w:rPr>
                                <w:rFonts w:eastAsia="Verdana"/>
                              </w:rPr>
                              <w:t>Introduction to Research Data Management and case study exemplars – research staff and PhD researchers -</w:t>
                            </w:r>
                            <w:proofErr w:type="spellStart"/>
                            <w:r>
                              <w:rPr>
                                <w:rFonts w:eastAsia="Verdana"/>
                              </w:rPr>
                              <w:t>WebScience</w:t>
                            </w:r>
                            <w:proofErr w:type="spellEnd"/>
                            <w:r>
                              <w:rPr>
                                <w:rFonts w:eastAsia="Verdana"/>
                              </w:rPr>
                              <w:t xml:space="preserve"> DTC </w:t>
                            </w:r>
                          </w:p>
                          <w:p w:rsidR="00074D54" w:rsidRDefault="00074D54" w:rsidP="00074D54">
                            <w:pPr>
                              <w:rPr>
                                <w:rFonts w:eastAsia="Verdana"/>
                              </w:rPr>
                            </w:pPr>
                            <w:r>
                              <w:rPr>
                                <w:rFonts w:eastAsia="Verdana"/>
                              </w:rPr>
                              <w:t xml:space="preserve">Introduction to Research Data Management for Humanities – Early Career Researchers and PhD - Faculty of Humanities </w:t>
                            </w:r>
                          </w:p>
                          <w:p w:rsidR="00074D54" w:rsidRDefault="00074D54" w:rsidP="00074D54">
                            <w:pPr>
                              <w:rPr>
                                <w:rFonts w:eastAsia="Verdana"/>
                              </w:rPr>
                            </w:pPr>
                            <w:r>
                              <w:rPr>
                                <w:rFonts w:eastAsia="Verdana"/>
                              </w:rPr>
                              <w:t>Introduction to Research Data Management - Professional Services staff developing support services</w:t>
                            </w:r>
                          </w:p>
                          <w:p w:rsidR="00074D54" w:rsidRDefault="00074D54" w:rsidP="00074D54">
                            <w:pPr>
                              <w:rPr>
                                <w:rFonts w:eastAsia="Verdana"/>
                              </w:rPr>
                            </w:pPr>
                            <w:r>
                              <w:rPr>
                                <w:rFonts w:eastAsia="Verdana"/>
                              </w:rPr>
                              <w:t>Focus on Data Management Planning - Professional Services staff developing support services</w:t>
                            </w:r>
                          </w:p>
                          <w:p w:rsidR="00074D54" w:rsidRDefault="00074D54" w:rsidP="00074D54">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6.7pt;margin-top:29pt;width:375.55pt;height:1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" o:allowincell="f" filled="f" strokecolor="#622423" strokeweight="6pt">
                <v:stroke linestyle="thickThin"/>
                <v:textbox inset="10.8pt,7.2pt,10.8pt,7.2pt">
                  <w:txbxContent>
                    <w:p w:rsidR="00074D54" w:rsidRDefault="00074D54" w:rsidP="00074D54">
                      <w:pPr>
                        <w:rPr>
                          <w:rFonts w:eastAsia="Verdana"/>
                        </w:rPr>
                      </w:pPr>
                      <w:r>
                        <w:rPr>
                          <w:rFonts w:eastAsia="Verdana"/>
                        </w:rPr>
                        <w:t>Focus on Data Management Planning - PIs – Medicine and Health Sciences</w:t>
                      </w:r>
                    </w:p>
                    <w:p w:rsidR="00074D54" w:rsidRDefault="00074D54" w:rsidP="00074D54">
                      <w:pPr>
                        <w:rPr>
                          <w:rFonts w:eastAsia="Verdana"/>
                        </w:rPr>
                      </w:pPr>
                      <w:r>
                        <w:rPr>
                          <w:rFonts w:eastAsia="Verdana"/>
                        </w:rPr>
                        <w:t>First principles for Research Data Management - PhD – Researcher Development Graduate Centre (multidisciplinary)</w:t>
                      </w:r>
                    </w:p>
                    <w:p w:rsidR="00074D54" w:rsidRDefault="00074D54" w:rsidP="00074D54">
                      <w:pPr>
                        <w:rPr>
                          <w:rFonts w:eastAsia="Verdana"/>
                        </w:rPr>
                      </w:pPr>
                      <w:r>
                        <w:rPr>
                          <w:rFonts w:eastAsia="Verdana"/>
                        </w:rPr>
                        <w:t>Introduction to Research Data Management and case study exemplars – research staff and PhD researchers -</w:t>
                      </w:r>
                      <w:proofErr w:type="spellStart"/>
                      <w:r>
                        <w:rPr>
                          <w:rFonts w:eastAsia="Verdana"/>
                        </w:rPr>
                        <w:t>WebScience</w:t>
                      </w:r>
                      <w:proofErr w:type="spellEnd"/>
                      <w:r>
                        <w:rPr>
                          <w:rFonts w:eastAsia="Verdana"/>
                        </w:rPr>
                        <w:t xml:space="preserve"> DTC </w:t>
                      </w:r>
                    </w:p>
                    <w:p w:rsidR="00074D54" w:rsidRDefault="00074D54" w:rsidP="00074D54">
                      <w:pPr>
                        <w:rPr>
                          <w:rFonts w:eastAsia="Verdana"/>
                        </w:rPr>
                      </w:pPr>
                      <w:r>
                        <w:rPr>
                          <w:rFonts w:eastAsia="Verdana"/>
                        </w:rPr>
                        <w:t xml:space="preserve">Introduction to Research Data Management for Humanities – Early Career Researchers and PhD - Faculty of Humanities </w:t>
                      </w:r>
                    </w:p>
                    <w:p w:rsidR="00074D54" w:rsidRDefault="00074D54" w:rsidP="00074D54">
                      <w:pPr>
                        <w:rPr>
                          <w:rFonts w:eastAsia="Verdana"/>
                        </w:rPr>
                      </w:pPr>
                      <w:r>
                        <w:rPr>
                          <w:rFonts w:eastAsia="Verdana"/>
                        </w:rPr>
                        <w:t>Introduction to Research Data Management - Professional Services staff developing support services</w:t>
                      </w:r>
                    </w:p>
                    <w:p w:rsidR="00074D54" w:rsidRDefault="00074D54" w:rsidP="00074D54">
                      <w:pPr>
                        <w:rPr>
                          <w:rFonts w:eastAsia="Verdana"/>
                        </w:rPr>
                      </w:pPr>
                      <w:r>
                        <w:rPr>
                          <w:rFonts w:eastAsia="Verdana"/>
                        </w:rPr>
                        <w:t>Focus on Data Management Planning - Professional Services staff developing support services</w:t>
                      </w:r>
                    </w:p>
                    <w:p w:rsidR="00074D54" w:rsidRDefault="00074D54" w:rsidP="00074D54">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p>
    <w:p w:rsidR="00363691" w:rsidRDefault="00363691" w:rsidP="00C03435">
      <w:pPr>
        <w:rPr>
          <w:rFonts w:eastAsia="Verdana"/>
        </w:rPr>
      </w:pPr>
    </w:p>
    <w:p w:rsidR="00363691" w:rsidRDefault="00363691" w:rsidP="00C03435">
      <w:pPr>
        <w:rPr>
          <w:rFonts w:eastAsia="Verdana"/>
        </w:rPr>
      </w:pPr>
    </w:p>
    <w:p w:rsidR="00363691" w:rsidRDefault="00363691" w:rsidP="00C03435">
      <w:pPr>
        <w:rPr>
          <w:rFonts w:eastAsia="Verdana"/>
        </w:rPr>
      </w:pPr>
    </w:p>
    <w:p w:rsidR="00363691" w:rsidRDefault="00363691" w:rsidP="00C03435">
      <w:pPr>
        <w:rPr>
          <w:rFonts w:eastAsia="Verdana"/>
        </w:rPr>
      </w:pPr>
    </w:p>
    <w:p w:rsidR="00363691" w:rsidRDefault="00363691" w:rsidP="00C03435">
      <w:pPr>
        <w:rPr>
          <w:rFonts w:eastAsia="Verdana"/>
        </w:rPr>
      </w:pPr>
    </w:p>
    <w:p w:rsidR="00363691" w:rsidRDefault="00363691" w:rsidP="00C03435">
      <w:pPr>
        <w:rPr>
          <w:rFonts w:eastAsia="Verdana"/>
        </w:rPr>
      </w:pPr>
    </w:p>
    <w:p w:rsidR="00363691" w:rsidRDefault="00363691" w:rsidP="00C03435">
      <w:pPr>
        <w:rPr>
          <w:rFonts w:eastAsia="Verdana"/>
        </w:rPr>
      </w:pPr>
    </w:p>
    <w:p w:rsidR="00363691" w:rsidRDefault="00363691" w:rsidP="00C03435">
      <w:pPr>
        <w:rPr>
          <w:rFonts w:eastAsia="Verdana"/>
        </w:rPr>
      </w:pPr>
    </w:p>
    <w:p w:rsidR="00363691" w:rsidRDefault="00363691" w:rsidP="00C03435">
      <w:pPr>
        <w:rPr>
          <w:rFonts w:eastAsia="Verdana"/>
        </w:rPr>
      </w:pPr>
    </w:p>
    <w:p w:rsidR="00363691" w:rsidRDefault="00363691" w:rsidP="00C03435">
      <w:pPr>
        <w:rPr>
          <w:rFonts w:eastAsia="Verdana"/>
        </w:rPr>
      </w:pPr>
    </w:p>
    <w:p w:rsidR="00363691" w:rsidRDefault="00363691" w:rsidP="00C03435">
      <w:pPr>
        <w:rPr>
          <w:rFonts w:eastAsia="Verdana"/>
        </w:rPr>
      </w:pPr>
    </w:p>
    <w:p w:rsidR="00363691" w:rsidRDefault="00363691" w:rsidP="00C03435">
      <w:pPr>
        <w:rPr>
          <w:rFonts w:eastAsia="Verdana"/>
        </w:rPr>
      </w:pPr>
    </w:p>
    <w:p w:rsidR="00C03435" w:rsidRDefault="00C03435" w:rsidP="00C03435">
      <w:pPr>
        <w:rPr>
          <w:rFonts w:eastAsia="Verdana"/>
        </w:rPr>
      </w:pPr>
      <w:r>
        <w:rPr>
          <w:rFonts w:eastAsia="Verdana"/>
        </w:rPr>
        <w:t xml:space="preserve">The questionnaire on confidence with areas of research data management was completed by staff across the Library, iSolutions and Research and Innovation Services. The analysis is just being completed and will provide evidence for targeted development of future training. </w:t>
      </w:r>
      <w:r w:rsidR="00082921">
        <w:rPr>
          <w:rFonts w:eastAsia="Verdana"/>
        </w:rPr>
        <w:t xml:space="preserve">The questionnaire is also being deployed at Oxford which will give us comparative information. </w:t>
      </w:r>
    </w:p>
    <w:p w:rsidR="009A3A08" w:rsidRDefault="00DE5CCE" w:rsidP="000C044A">
      <w:pPr>
        <w:ind w:left="360"/>
      </w:pPr>
      <w:r>
        <w:t xml:space="preserve">  </w:t>
      </w:r>
      <w:r w:rsidR="00546C9B">
        <w:t xml:space="preserve">   </w:t>
      </w:r>
    </w:p>
    <w:p w:rsidR="00AF7AE6" w:rsidRDefault="00520060" w:rsidP="00780AAA">
      <w:pPr>
        <w:pStyle w:val="Heading3"/>
      </w:pPr>
      <w:r>
        <w:t>Data catalogue</w:t>
      </w:r>
      <w:r w:rsidR="005C1F3D">
        <w:t xml:space="preserve"> and archiving</w:t>
      </w:r>
      <w:r>
        <w:t xml:space="preserve"> </w:t>
      </w:r>
    </w:p>
    <w:p w:rsidR="00512186" w:rsidRDefault="00512186" w:rsidP="00512186">
      <w:r>
        <w:t xml:space="preserve">The </w:t>
      </w:r>
      <w:proofErr w:type="spellStart"/>
      <w:r>
        <w:t>EPrints</w:t>
      </w:r>
      <w:proofErr w:type="spellEnd"/>
      <w:r>
        <w:t xml:space="preserve"> data app developed by Essex has been slightly modified to fit with the Southampton workflow and is now being tested. A useful conference call between interested </w:t>
      </w:r>
      <w:proofErr w:type="spellStart"/>
      <w:r>
        <w:t>EPrints</w:t>
      </w:r>
      <w:proofErr w:type="spellEnd"/>
      <w:r>
        <w:t xml:space="preserve"> data users (Essex, Glasgow, Leeds, Southampton, </w:t>
      </w:r>
      <w:proofErr w:type="spellStart"/>
      <w:r>
        <w:t>EPrints</w:t>
      </w:r>
      <w:proofErr w:type="spellEnd"/>
      <w:r>
        <w:t xml:space="preserve"> Services) arranged by Louise Corti should help keep core principles across all sites, thus supporting inter-operability and adherence to relevant standards. The plan is for a soft launch and to take an iterative approach to minor development as take up of the service expands. </w:t>
      </w:r>
      <w:r w:rsidR="003B7035">
        <w:t xml:space="preserve">There will be an additional 20TB of storage available to support the enhanced service. </w:t>
      </w:r>
    </w:p>
    <w:p w:rsidR="003B7035" w:rsidRPr="003B7035" w:rsidRDefault="003B7035" w:rsidP="003B7035">
      <w:pPr>
        <w:autoSpaceDE w:val="0"/>
        <w:autoSpaceDN w:val="0"/>
        <w:adjustRightInd w:val="0"/>
        <w:spacing w:after="0" w:line="240" w:lineRule="auto"/>
        <w:rPr>
          <w:rFonts w:cs="Georgia"/>
          <w:szCs w:val="18"/>
          <w:lang w:eastAsia="zh-CN"/>
        </w:rPr>
      </w:pPr>
      <w:r>
        <w:t xml:space="preserve">The project is also working with </w:t>
      </w:r>
      <w:proofErr w:type="spellStart"/>
      <w:r>
        <w:t>Arkivum</w:t>
      </w:r>
      <w:proofErr w:type="spellEnd"/>
      <w:r>
        <w:t xml:space="preserve"> on a proof of concept link </w:t>
      </w:r>
      <w:r>
        <w:rPr>
          <w:rFonts w:cs="Georgia"/>
          <w:szCs w:val="18"/>
          <w:lang w:eastAsia="zh-CN"/>
        </w:rPr>
        <w:t xml:space="preserve">that integrates </w:t>
      </w:r>
      <w:proofErr w:type="spellStart"/>
      <w:r w:rsidRPr="003B7035">
        <w:rPr>
          <w:rFonts w:cs="Georgia"/>
          <w:szCs w:val="18"/>
          <w:lang w:eastAsia="zh-CN"/>
        </w:rPr>
        <w:t>Arkivum’s</w:t>
      </w:r>
      <w:proofErr w:type="spellEnd"/>
      <w:r w:rsidRPr="003B7035">
        <w:rPr>
          <w:rFonts w:cs="Georgia"/>
          <w:szCs w:val="18"/>
          <w:lang w:eastAsia="zh-CN"/>
        </w:rPr>
        <w:t xml:space="preserve"> A-</w:t>
      </w:r>
      <w:proofErr w:type="spellStart"/>
      <w:r w:rsidRPr="003B7035">
        <w:rPr>
          <w:rFonts w:cs="Georgia"/>
          <w:szCs w:val="18"/>
          <w:lang w:eastAsia="zh-CN"/>
        </w:rPr>
        <w:t>Stor</w:t>
      </w:r>
      <w:proofErr w:type="spellEnd"/>
      <w:r w:rsidRPr="003B7035">
        <w:rPr>
          <w:rFonts w:cs="Georgia"/>
          <w:szCs w:val="18"/>
          <w:lang w:eastAsia="zh-CN"/>
        </w:rPr>
        <w:t xml:space="preserve"> archive service with the </w:t>
      </w:r>
      <w:proofErr w:type="spellStart"/>
      <w:r w:rsidRPr="003B7035">
        <w:rPr>
          <w:rFonts w:cs="Georgia"/>
          <w:szCs w:val="18"/>
          <w:lang w:eastAsia="zh-CN"/>
        </w:rPr>
        <w:t>ePrints</w:t>
      </w:r>
      <w:proofErr w:type="spellEnd"/>
      <w:r w:rsidRPr="003B7035">
        <w:rPr>
          <w:rFonts w:cs="Georgia"/>
          <w:szCs w:val="18"/>
          <w:lang w:eastAsia="zh-CN"/>
        </w:rPr>
        <w:t xml:space="preserve"> repository at Southampton</w:t>
      </w:r>
      <w:r>
        <w:rPr>
          <w:rFonts w:cs="Georgia"/>
          <w:szCs w:val="18"/>
          <w:lang w:eastAsia="zh-CN"/>
        </w:rPr>
        <w:t xml:space="preserve">. A number of use cases will be developed </w:t>
      </w:r>
      <w:r w:rsidRPr="003B7035">
        <w:rPr>
          <w:rFonts w:cs="Georgia"/>
          <w:szCs w:val="18"/>
          <w:lang w:eastAsia="zh-CN"/>
        </w:rPr>
        <w:t>for the storage and access of research data using the</w:t>
      </w:r>
      <w:r>
        <w:rPr>
          <w:rFonts w:cs="Georgia"/>
          <w:szCs w:val="18"/>
          <w:lang w:eastAsia="zh-CN"/>
        </w:rPr>
        <w:t xml:space="preserve"> </w:t>
      </w:r>
      <w:proofErr w:type="spellStart"/>
      <w:r w:rsidRPr="003B7035">
        <w:rPr>
          <w:rFonts w:cs="Georgia"/>
          <w:szCs w:val="18"/>
          <w:lang w:eastAsia="zh-CN"/>
        </w:rPr>
        <w:t>Arkivum</w:t>
      </w:r>
      <w:proofErr w:type="spellEnd"/>
      <w:r w:rsidRPr="003B7035">
        <w:rPr>
          <w:rFonts w:cs="Georgia"/>
          <w:szCs w:val="18"/>
          <w:lang w:eastAsia="zh-CN"/>
        </w:rPr>
        <w:t xml:space="preserve"> service. One or more of the use cases will be implemented in a demonstrator to show how they would work in practice. Likely candidates are:</w:t>
      </w:r>
    </w:p>
    <w:p w:rsidR="003B7035" w:rsidRPr="003B7035" w:rsidRDefault="003B7035" w:rsidP="003B7035">
      <w:pPr>
        <w:pStyle w:val="ListParagraph"/>
        <w:numPr>
          <w:ilvl w:val="0"/>
          <w:numId w:val="48"/>
        </w:numPr>
        <w:autoSpaceDE w:val="0"/>
        <w:autoSpaceDN w:val="0"/>
        <w:adjustRightInd w:val="0"/>
        <w:spacing w:after="0" w:line="240" w:lineRule="auto"/>
        <w:rPr>
          <w:rFonts w:cs="Georgia"/>
          <w:szCs w:val="18"/>
          <w:lang w:eastAsia="zh-CN"/>
        </w:rPr>
      </w:pPr>
      <w:r w:rsidRPr="003B7035">
        <w:rPr>
          <w:rFonts w:cs="Georgia"/>
          <w:szCs w:val="18"/>
          <w:lang w:eastAsia="zh-CN"/>
        </w:rPr>
        <w:t>Movement of research data into archive storage (</w:t>
      </w:r>
      <w:proofErr w:type="spellStart"/>
      <w:r w:rsidRPr="003B7035">
        <w:rPr>
          <w:rFonts w:cs="Georgia"/>
          <w:szCs w:val="18"/>
          <w:lang w:eastAsia="zh-CN"/>
        </w:rPr>
        <w:t>Arkivum</w:t>
      </w:r>
      <w:proofErr w:type="spellEnd"/>
      <w:r w:rsidRPr="003B7035">
        <w:rPr>
          <w:rFonts w:cs="Georgia"/>
          <w:szCs w:val="18"/>
          <w:lang w:eastAsia="zh-CN"/>
        </w:rPr>
        <w:t xml:space="preserve"> service) for data that hasn’t been accessed for a given period, or data that is not expected to be accessed frequently</w:t>
      </w:r>
    </w:p>
    <w:p w:rsidR="003B7035" w:rsidRPr="003B7035" w:rsidRDefault="003B7035" w:rsidP="003B7035">
      <w:pPr>
        <w:pStyle w:val="ListParagraph"/>
        <w:numPr>
          <w:ilvl w:val="0"/>
          <w:numId w:val="48"/>
        </w:numPr>
        <w:autoSpaceDE w:val="0"/>
        <w:autoSpaceDN w:val="0"/>
        <w:adjustRightInd w:val="0"/>
        <w:spacing w:after="0" w:line="240" w:lineRule="auto"/>
        <w:rPr>
          <w:rFonts w:cs="Georgia"/>
          <w:szCs w:val="18"/>
          <w:lang w:eastAsia="zh-CN"/>
        </w:rPr>
      </w:pPr>
      <w:r w:rsidRPr="003B7035">
        <w:rPr>
          <w:rFonts w:cs="Georgia"/>
          <w:szCs w:val="18"/>
          <w:lang w:eastAsia="zh-CN"/>
        </w:rPr>
        <w:t>Retention scheduling and review of research data according to University policy, for example being able to set a retention period that subsequently triggers a review of whether the data should be</w:t>
      </w:r>
    </w:p>
    <w:p w:rsidR="003B7035" w:rsidRPr="003B7035" w:rsidRDefault="003B7035" w:rsidP="003B7035">
      <w:pPr>
        <w:pStyle w:val="ListParagraph"/>
        <w:numPr>
          <w:ilvl w:val="0"/>
          <w:numId w:val="48"/>
        </w:numPr>
        <w:autoSpaceDE w:val="0"/>
        <w:autoSpaceDN w:val="0"/>
        <w:adjustRightInd w:val="0"/>
        <w:spacing w:after="0" w:line="240" w:lineRule="auto"/>
        <w:rPr>
          <w:rFonts w:cs="Georgia"/>
          <w:szCs w:val="18"/>
          <w:lang w:eastAsia="zh-CN"/>
        </w:rPr>
      </w:pPr>
      <w:proofErr w:type="gramStart"/>
      <w:r w:rsidRPr="003B7035">
        <w:rPr>
          <w:rFonts w:cs="Georgia"/>
          <w:szCs w:val="18"/>
          <w:lang w:eastAsia="zh-CN"/>
        </w:rPr>
        <w:t>destroyed</w:t>
      </w:r>
      <w:proofErr w:type="gramEnd"/>
      <w:r w:rsidRPr="003B7035">
        <w:rPr>
          <w:rFonts w:cs="Georgia"/>
          <w:szCs w:val="18"/>
          <w:lang w:eastAsia="zh-CN"/>
        </w:rPr>
        <w:t>, retained or made public.</w:t>
      </w:r>
      <w:r>
        <w:rPr>
          <w:rFonts w:cs="Georgia"/>
          <w:szCs w:val="18"/>
          <w:lang w:eastAsia="zh-CN"/>
        </w:rPr>
        <w:t xml:space="preserve"> (from Statement of Work, Matthew Addis)</w:t>
      </w:r>
    </w:p>
    <w:p w:rsidR="005E0E4A" w:rsidRDefault="00924749" w:rsidP="005E0E4A">
      <w:pPr>
        <w:pStyle w:val="Heading3"/>
      </w:pPr>
      <w:r>
        <w:t>Next phase governance and sustainability</w:t>
      </w:r>
    </w:p>
    <w:p w:rsidR="00924749" w:rsidRDefault="00924749" w:rsidP="00924749">
      <w:r>
        <w:t>There are some points that the project team would like to emphasise for discussion and steer.</w:t>
      </w:r>
    </w:p>
    <w:p w:rsidR="00924749" w:rsidRDefault="00924749" w:rsidP="00924749">
      <w:pPr>
        <w:pStyle w:val="ListParagraph"/>
        <w:numPr>
          <w:ilvl w:val="0"/>
          <w:numId w:val="49"/>
        </w:numPr>
      </w:pPr>
      <w:r>
        <w:t xml:space="preserve">There will be a paper tabled for the next </w:t>
      </w:r>
      <w:r w:rsidR="000C1CDD">
        <w:t>R</w:t>
      </w:r>
      <w:r>
        <w:t xml:space="preserve">esearch and </w:t>
      </w:r>
      <w:r w:rsidR="000C1CDD">
        <w:t>E</w:t>
      </w:r>
      <w:r>
        <w:t xml:space="preserve">nterprise </w:t>
      </w:r>
      <w:r w:rsidR="000C1CDD">
        <w:t>A</w:t>
      </w:r>
      <w:r>
        <w:t xml:space="preserve">dvisory </w:t>
      </w:r>
      <w:r w:rsidR="000C1CDD">
        <w:t>G</w:t>
      </w:r>
      <w:r>
        <w:t>roup meeting</w:t>
      </w:r>
      <w:r w:rsidR="000C1CDD">
        <w:t xml:space="preserve"> on options for </w:t>
      </w:r>
      <w:r w:rsidR="0058590E">
        <w:t xml:space="preserve">phased </w:t>
      </w:r>
      <w:r w:rsidR="000C1CDD">
        <w:t>investment based on consultatio</w:t>
      </w:r>
      <w:r w:rsidR="0058590E">
        <w:t>n with Associate Deans Research</w:t>
      </w:r>
      <w:r>
        <w:t>. This w</w:t>
      </w:r>
      <w:r w:rsidR="000C1CDD">
        <w:t xml:space="preserve">ill </w:t>
      </w:r>
      <w:r>
        <w:t xml:space="preserve">also </w:t>
      </w:r>
      <w:r w:rsidR="000C1CDD">
        <w:t xml:space="preserve">propose continuation of a reconstituted Steering Group reporting to REAG to provide continued steer for the embedding of research data management services </w:t>
      </w:r>
      <w:r>
        <w:t>and related policy development.</w:t>
      </w:r>
    </w:p>
    <w:p w:rsidR="0058590E" w:rsidRDefault="00924749" w:rsidP="00924749">
      <w:pPr>
        <w:pStyle w:val="ListParagraph"/>
        <w:numPr>
          <w:ilvl w:val="0"/>
          <w:numId w:val="49"/>
        </w:numPr>
      </w:pPr>
      <w:r>
        <w:t xml:space="preserve">The </w:t>
      </w:r>
      <w:r w:rsidR="00CA64E9">
        <w:t>ShareP</w:t>
      </w:r>
      <w:r w:rsidR="0058590E">
        <w:t>oint</w:t>
      </w:r>
      <w:r>
        <w:t xml:space="preserve"> data development</w:t>
      </w:r>
      <w:r w:rsidR="0058590E">
        <w:t xml:space="preserve"> work </w:t>
      </w:r>
      <w:r>
        <w:t xml:space="preserve">is </w:t>
      </w:r>
      <w:r w:rsidR="0058590E">
        <w:t>available but dependent on longer term in</w:t>
      </w:r>
      <w:r>
        <w:t>stitutional plan for SharePoint. We suggest revisiting the</w:t>
      </w:r>
      <w:r w:rsidR="0025552C">
        <w:t xml:space="preserve"> strategic view of VRE options</w:t>
      </w:r>
      <w:r>
        <w:t>,</w:t>
      </w:r>
      <w:r w:rsidR="0025552C">
        <w:t xml:space="preserve"> given known demand for managing multidisciplinary and multi-stakeholder access to versions of working data</w:t>
      </w:r>
      <w:r w:rsidR="00CA64E9">
        <w:t>.</w:t>
      </w:r>
    </w:p>
    <w:p w:rsidR="00CA64E9" w:rsidRDefault="00CA64E9" w:rsidP="00924749">
      <w:pPr>
        <w:pStyle w:val="ListParagraph"/>
        <w:numPr>
          <w:ilvl w:val="0"/>
          <w:numId w:val="49"/>
        </w:numPr>
      </w:pPr>
      <w:r>
        <w:t>Commitment to assessing uptake of data catalogue once launched and exploring link between service development and policy implementation.</w:t>
      </w:r>
    </w:p>
    <w:p w:rsidR="0025552C" w:rsidRDefault="00924749" w:rsidP="00924749">
      <w:pPr>
        <w:pStyle w:val="ListParagraph"/>
        <w:numPr>
          <w:ilvl w:val="0"/>
          <w:numId w:val="49"/>
        </w:numPr>
      </w:pPr>
      <w:r>
        <w:t>Important to work</w:t>
      </w:r>
      <w:r w:rsidR="0025552C">
        <w:t xml:space="preserve"> closely with R</w:t>
      </w:r>
      <w:r>
        <w:t xml:space="preserve">esearcher </w:t>
      </w:r>
      <w:r w:rsidR="0025552C">
        <w:t>D</w:t>
      </w:r>
      <w:r>
        <w:t xml:space="preserve">evelopment </w:t>
      </w:r>
      <w:r w:rsidR="0025552C">
        <w:t>G</w:t>
      </w:r>
      <w:r>
        <w:t xml:space="preserve">raduate </w:t>
      </w:r>
      <w:r w:rsidR="0025552C">
        <w:t>C</w:t>
      </w:r>
      <w:r>
        <w:t>entre</w:t>
      </w:r>
      <w:r w:rsidR="0025552C">
        <w:t xml:space="preserve">, Faculties and DTCs on full embedding of training to </w:t>
      </w:r>
      <w:r>
        <w:t xml:space="preserve">support long term development </w:t>
      </w:r>
      <w:r w:rsidR="0025552C">
        <w:t>of next generation researchers</w:t>
      </w:r>
      <w:r w:rsidR="00CA64E9">
        <w:t>.</w:t>
      </w:r>
    </w:p>
    <w:p w:rsidR="0025552C" w:rsidRDefault="00CA64E9" w:rsidP="00924749">
      <w:pPr>
        <w:pStyle w:val="ListParagraph"/>
        <w:numPr>
          <w:ilvl w:val="0"/>
          <w:numId w:val="49"/>
        </w:numPr>
      </w:pPr>
      <w:r>
        <w:t>Use l</w:t>
      </w:r>
      <w:r w:rsidR="0025552C">
        <w:t xml:space="preserve">aunch of </w:t>
      </w:r>
      <w:proofErr w:type="spellStart"/>
      <w:r w:rsidR="0025552C">
        <w:t>LabTrove</w:t>
      </w:r>
      <w:proofErr w:type="spellEnd"/>
      <w:r w:rsidR="0025552C">
        <w:t xml:space="preserve"> as </w:t>
      </w:r>
      <w:r>
        <w:t>open source and third-party supported cloud-based service as exemplar for on-going “innovation to service” model.</w:t>
      </w:r>
    </w:p>
    <w:p w:rsidR="0025552C" w:rsidRDefault="00CA64E9" w:rsidP="00924749">
      <w:pPr>
        <w:pStyle w:val="ListParagraph"/>
        <w:numPr>
          <w:ilvl w:val="0"/>
          <w:numId w:val="49"/>
        </w:numPr>
      </w:pPr>
      <w:r>
        <w:t xml:space="preserve">Continue to seek sector-wide links to data initiatives e.g. through </w:t>
      </w:r>
      <w:r w:rsidR="0025552C">
        <w:t>EPSRC I</w:t>
      </w:r>
      <w:r>
        <w:t xml:space="preserve">T as a Utility strand, Digital Humanities, open data and big data developments. </w:t>
      </w:r>
    </w:p>
    <w:p w:rsidR="0025552C" w:rsidRDefault="0025552C" w:rsidP="0058590E">
      <w:bookmarkStart w:id="0" w:name="_GoBack"/>
      <w:bookmarkEnd w:id="0"/>
    </w:p>
    <w:p w:rsidR="0025552C" w:rsidRDefault="0025552C" w:rsidP="0058590E"/>
    <w:p w:rsidR="00F405C3" w:rsidRPr="00CA64E9" w:rsidRDefault="00CA64E9" w:rsidP="00CA64E9">
      <w:pPr>
        <w:rPr>
          <w:b/>
          <w:sz w:val="24"/>
        </w:rPr>
      </w:pPr>
      <w:r w:rsidRPr="00CA64E9">
        <w:rPr>
          <w:b/>
        </w:rPr>
        <w:t xml:space="preserve"> </w:t>
      </w:r>
      <w:r w:rsidR="00C54C11" w:rsidRPr="00CA64E9">
        <w:rPr>
          <w:b/>
          <w:sz w:val="24"/>
        </w:rPr>
        <w:t>D</w:t>
      </w:r>
      <w:r w:rsidR="00DB2390" w:rsidRPr="00CA64E9">
        <w:rPr>
          <w:b/>
          <w:sz w:val="24"/>
        </w:rPr>
        <w:t xml:space="preserve">issemination </w:t>
      </w:r>
      <w:r w:rsidR="00C54C11" w:rsidRPr="00CA64E9">
        <w:rPr>
          <w:b/>
          <w:sz w:val="24"/>
        </w:rPr>
        <w:t>a</w:t>
      </w:r>
      <w:r w:rsidR="00F405C3" w:rsidRPr="00CA64E9">
        <w:rPr>
          <w:b/>
          <w:sz w:val="24"/>
        </w:rPr>
        <w:t>ctivities</w:t>
      </w:r>
    </w:p>
    <w:p w:rsidR="00DB2390" w:rsidRPr="00DB2390" w:rsidRDefault="00DB2390" w:rsidP="00DB2390">
      <w:r>
        <w:t>The communication strategy for the project has placed equal weight to internal communication and dissemination, as detailed in this briefing, and external opportunities to share our work and ideas with others.  Here is a summary of external engagement</w:t>
      </w:r>
      <w:r w:rsidR="00111497">
        <w:t xml:space="preserve"> since the last Steering Group</w:t>
      </w:r>
      <w:r>
        <w:t>:</w:t>
      </w:r>
    </w:p>
    <w:p w:rsidR="00C54C11" w:rsidRDefault="00C54C11" w:rsidP="00C54C11"/>
    <w:p w:rsidR="00C54C11" w:rsidRPr="00DB2390" w:rsidRDefault="00111497" w:rsidP="00C54C11">
      <w:pPr>
        <w:rPr>
          <w:b/>
        </w:rPr>
      </w:pPr>
      <w:r>
        <w:rPr>
          <w:b/>
        </w:rPr>
        <w:t>Delivered</w:t>
      </w:r>
    </w:p>
    <w:p w:rsidR="00730942" w:rsidRDefault="00801D03" w:rsidP="00C54C11">
      <w:r>
        <w:t xml:space="preserve">S. Hitchcock (presentation), </w:t>
      </w:r>
      <w:proofErr w:type="gramStart"/>
      <w:r>
        <w:t>To</w:t>
      </w:r>
      <w:proofErr w:type="gramEnd"/>
      <w:r>
        <w:t xml:space="preserve"> architect or engineer? Lessons from </w:t>
      </w:r>
      <w:proofErr w:type="spellStart"/>
      <w:r>
        <w:t>DataPool</w:t>
      </w:r>
      <w:proofErr w:type="spellEnd"/>
      <w:r>
        <w:t xml:space="preserve"> on building RDM repositories, </w:t>
      </w:r>
      <w:r w:rsidR="00C54C11">
        <w:t>R</w:t>
      </w:r>
      <w:r w:rsidR="00AB5689">
        <w:t>DMF</w:t>
      </w:r>
      <w:r w:rsidR="00C54C11">
        <w:t>9</w:t>
      </w:r>
      <w:r w:rsidR="00AB5689">
        <w:t>, Nov 14-15 2012, Cambridge</w:t>
      </w:r>
    </w:p>
    <w:p w:rsidR="00C54C11" w:rsidRDefault="00650CEB" w:rsidP="00C54C11">
      <w:r>
        <w:t xml:space="preserve">D. Byatt, </w:t>
      </w:r>
      <w:r w:rsidR="00730942">
        <w:t xml:space="preserve"> G. Beale, H. Pagi, </w:t>
      </w:r>
      <w:r>
        <w:t xml:space="preserve">S. Hitchcock, M. Scott, </w:t>
      </w:r>
      <w:r w:rsidR="00AB5689">
        <w:t>S. Cox, G. Earl,</w:t>
      </w:r>
      <w:r w:rsidR="00730942">
        <w:t xml:space="preserve"> W. White</w:t>
      </w:r>
      <w:r w:rsidR="00AB5689">
        <w:t xml:space="preserve"> (</w:t>
      </w:r>
      <w:r>
        <w:t>p</w:t>
      </w:r>
      <w:r w:rsidR="00AB5689">
        <w:t>oster),</w:t>
      </w:r>
      <w:r w:rsidR="00C10B00">
        <w:t xml:space="preserve"> Working Collaboratively with PhD and Early Career Researchers: agents for change,</w:t>
      </w:r>
      <w:r w:rsidR="00AB5689">
        <w:t xml:space="preserve"> 14-16 Jan 8th International Digital </w:t>
      </w:r>
      <w:proofErr w:type="spellStart"/>
      <w:r w:rsidR="00AB5689">
        <w:t>Curation</w:t>
      </w:r>
      <w:proofErr w:type="spellEnd"/>
      <w:r w:rsidR="00AB5689">
        <w:t xml:space="preserve"> Conference,</w:t>
      </w:r>
      <w:r w:rsidR="00C54C11">
        <w:t xml:space="preserve"> Amsterdam</w:t>
      </w:r>
    </w:p>
    <w:p w:rsidR="00650CEB" w:rsidRDefault="00650CEB" w:rsidP="00650CEB">
      <w:r>
        <w:t xml:space="preserve">M. Scott, R. Boardman, P. Reed,  S. Cox, Research Data Management Education for Future Curators (paper), 14-16 Jan 8th International Digital </w:t>
      </w:r>
      <w:proofErr w:type="spellStart"/>
      <w:r>
        <w:t>Curation</w:t>
      </w:r>
      <w:proofErr w:type="spellEnd"/>
      <w:r>
        <w:t xml:space="preserve"> Conference, Amsterdam</w:t>
      </w:r>
    </w:p>
    <w:p w:rsidR="009A451D" w:rsidRDefault="009A451D" w:rsidP="00C54C11">
      <w:r>
        <w:t xml:space="preserve">G. Earl, G. </w:t>
      </w:r>
      <w:proofErr w:type="spellStart"/>
      <w:r>
        <w:t>Beale</w:t>
      </w:r>
      <w:proofErr w:type="gramStart"/>
      <w:r>
        <w:t>,H</w:t>
      </w:r>
      <w:proofErr w:type="spellEnd"/>
      <w:proofErr w:type="gramEnd"/>
      <w:r>
        <w:t xml:space="preserve">.  Pagi, W. White, (paper) </w:t>
      </w:r>
      <w:r w:rsidR="00AC76D6">
        <w:t xml:space="preserve">JISC </w:t>
      </w:r>
      <w:proofErr w:type="spellStart"/>
      <w:r w:rsidR="00AC76D6">
        <w:t>DataPool</w:t>
      </w:r>
      <w:proofErr w:type="spellEnd"/>
      <w:r w:rsidR="00AC76D6">
        <w:t xml:space="preserve">: </w:t>
      </w:r>
      <w:r>
        <w:t>The relationship between institutional and discipline based repositories, W</w:t>
      </w:r>
      <w:r w:rsidR="00801D03">
        <w:t>orld Archaeological Congress</w:t>
      </w:r>
      <w:proofErr w:type="gramStart"/>
      <w:r w:rsidR="00801D03">
        <w:t xml:space="preserve">,  </w:t>
      </w:r>
      <w:r>
        <w:t>Jan</w:t>
      </w:r>
      <w:proofErr w:type="gramEnd"/>
      <w:r>
        <w:t xml:space="preserve"> 13-18 2013, Jordan </w:t>
      </w:r>
    </w:p>
    <w:p w:rsidR="00C54C11" w:rsidRPr="00072B19" w:rsidRDefault="00730942" w:rsidP="00C54C11">
      <w:pPr>
        <w:rPr>
          <w:b/>
        </w:rPr>
      </w:pPr>
      <w:r>
        <w:rPr>
          <w:b/>
        </w:rPr>
        <w:t>Accepted</w:t>
      </w:r>
    </w:p>
    <w:p w:rsidR="00C54C11" w:rsidRDefault="00730942" w:rsidP="00730942">
      <w:pPr>
        <w:autoSpaceDE w:val="0"/>
        <w:autoSpaceDN w:val="0"/>
        <w:adjustRightInd w:val="0"/>
        <w:spacing w:after="0" w:line="240" w:lineRule="auto"/>
        <w:rPr>
          <w:rFonts w:cs="FuturaStd-Heavy"/>
          <w:bCs/>
          <w:szCs w:val="18"/>
          <w:lang w:eastAsia="zh-CN"/>
        </w:rPr>
      </w:pPr>
      <w:r w:rsidRPr="00730942">
        <w:rPr>
          <w:rFonts w:cs="FuturaStd-LightOblique"/>
          <w:iCs/>
          <w:szCs w:val="18"/>
          <w:lang w:eastAsia="zh-CN"/>
        </w:rPr>
        <w:t>Gareth Beale,</w:t>
      </w:r>
      <w:r>
        <w:rPr>
          <w:rFonts w:cs="FuturaStd-LightOblique"/>
          <w:iCs/>
          <w:szCs w:val="18"/>
          <w:lang w:eastAsia="zh-CN"/>
        </w:rPr>
        <w:t xml:space="preserve"> </w:t>
      </w:r>
      <w:r w:rsidRPr="00730942">
        <w:rPr>
          <w:rFonts w:cs="FuturaStd-LightOblique"/>
          <w:iCs/>
          <w:szCs w:val="18"/>
          <w:lang w:eastAsia="zh-CN"/>
        </w:rPr>
        <w:t>Richard Boardman, Graeme Earl, Steve</w:t>
      </w:r>
      <w:r>
        <w:rPr>
          <w:rFonts w:cs="FuturaStd-LightOblique"/>
          <w:iCs/>
          <w:szCs w:val="18"/>
          <w:lang w:eastAsia="zh-CN"/>
        </w:rPr>
        <w:t xml:space="preserve"> </w:t>
      </w:r>
      <w:r w:rsidRPr="00730942">
        <w:rPr>
          <w:rFonts w:cs="FuturaStd-LightOblique"/>
          <w:iCs/>
          <w:szCs w:val="18"/>
          <w:lang w:eastAsia="zh-CN"/>
        </w:rPr>
        <w:t xml:space="preserve">Hitchcock, and </w:t>
      </w:r>
      <w:proofErr w:type="spellStart"/>
      <w:r w:rsidRPr="00730942">
        <w:rPr>
          <w:rFonts w:cs="FuturaStd-LightOblique"/>
          <w:iCs/>
          <w:szCs w:val="18"/>
          <w:lang w:eastAsia="zh-CN"/>
        </w:rPr>
        <w:t>Hembo</w:t>
      </w:r>
      <w:proofErr w:type="spellEnd"/>
      <w:r w:rsidRPr="00730942">
        <w:rPr>
          <w:rFonts w:cs="FuturaStd-LightOblique"/>
          <w:iCs/>
          <w:szCs w:val="18"/>
          <w:lang w:eastAsia="zh-CN"/>
        </w:rPr>
        <w:t xml:space="preserve"> </w:t>
      </w:r>
      <w:proofErr w:type="spellStart"/>
      <w:r w:rsidRPr="00730942">
        <w:rPr>
          <w:rFonts w:cs="FuturaStd-LightOblique"/>
          <w:iCs/>
          <w:szCs w:val="18"/>
          <w:lang w:eastAsia="zh-CN"/>
        </w:rPr>
        <w:t>Pagi</w:t>
      </w:r>
      <w:proofErr w:type="spellEnd"/>
      <w:r w:rsidRPr="00730942">
        <w:rPr>
          <w:rFonts w:cs="FuturaStd-LightOblique"/>
          <w:iCs/>
          <w:szCs w:val="18"/>
          <w:lang w:eastAsia="zh-CN"/>
        </w:rPr>
        <w:t xml:space="preserve"> (interactive paper),</w:t>
      </w:r>
      <w:r w:rsidRPr="00730942">
        <w:rPr>
          <w:rFonts w:cs="FuturaStd-LightOblique"/>
          <w:i/>
          <w:iCs/>
          <w:szCs w:val="18"/>
          <w:lang w:eastAsia="zh-CN"/>
        </w:rPr>
        <w:t xml:space="preserve"> </w:t>
      </w:r>
      <w:r w:rsidRPr="00730942">
        <w:rPr>
          <w:rFonts w:cs="FuturaStd-Heavy"/>
          <w:bCs/>
          <w:szCs w:val="18"/>
          <w:lang w:eastAsia="zh-CN"/>
        </w:rPr>
        <w:t>Supporting Data Management for 3D and</w:t>
      </w:r>
      <w:r w:rsidRPr="00730942">
        <w:rPr>
          <w:rFonts w:cs="FuturaStd-LightOblique"/>
          <w:i/>
          <w:iCs/>
          <w:szCs w:val="18"/>
          <w:lang w:eastAsia="zh-CN"/>
        </w:rPr>
        <w:t xml:space="preserve"> </w:t>
      </w:r>
      <w:r w:rsidRPr="00730942">
        <w:rPr>
          <w:rFonts w:cs="FuturaStd-Heavy"/>
          <w:bCs/>
          <w:szCs w:val="18"/>
          <w:lang w:eastAsia="zh-CN"/>
        </w:rPr>
        <w:t>Raster Data: A Case Study, Society for Imaging Science and Technology Archiving, April 2-5 2013, Washington D.C</w:t>
      </w:r>
    </w:p>
    <w:p w:rsidR="0058590E" w:rsidRDefault="0058590E" w:rsidP="00730942">
      <w:pPr>
        <w:autoSpaceDE w:val="0"/>
        <w:autoSpaceDN w:val="0"/>
        <w:adjustRightInd w:val="0"/>
        <w:spacing w:after="0" w:line="240" w:lineRule="auto"/>
        <w:rPr>
          <w:rFonts w:ascii="FuturaStd-Heavy" w:hAnsi="FuturaStd-Heavy" w:cs="FuturaStd-Heavy"/>
          <w:b/>
          <w:bCs/>
          <w:color w:val="45ACDA"/>
          <w:sz w:val="16"/>
          <w:szCs w:val="16"/>
          <w:lang w:eastAsia="zh-CN"/>
        </w:rPr>
      </w:pPr>
    </w:p>
    <w:p w:rsidR="0058590E" w:rsidRDefault="0058590E" w:rsidP="0058590E">
      <w:pPr>
        <w:autoSpaceDE w:val="0"/>
        <w:autoSpaceDN w:val="0"/>
        <w:adjustRightInd w:val="0"/>
        <w:spacing w:after="0" w:line="240" w:lineRule="auto"/>
        <w:rPr>
          <w:rFonts w:cs="Arial"/>
          <w:color w:val="000000"/>
          <w:szCs w:val="18"/>
        </w:rPr>
      </w:pPr>
      <w:r w:rsidRPr="0058590E">
        <w:rPr>
          <w:rFonts w:cs="Arial"/>
          <w:color w:val="000000"/>
          <w:szCs w:val="18"/>
        </w:rPr>
        <w:t>Gareth Beale, Imaging work looking at multi-disciplinary requirements and use of equipment</w:t>
      </w:r>
      <w:r w:rsidRPr="0058590E">
        <w:rPr>
          <w:rFonts w:cs="Arial"/>
          <w:b/>
          <w:bCs/>
          <w:color w:val="000000"/>
          <w:szCs w:val="18"/>
        </w:rPr>
        <w:t xml:space="preserve">, </w:t>
      </w:r>
      <w:proofErr w:type="spellStart"/>
      <w:r w:rsidRPr="0058590E">
        <w:rPr>
          <w:rFonts w:cs="Arial"/>
          <w:color w:val="000000"/>
          <w:szCs w:val="18"/>
        </w:rPr>
        <w:t>Jisc</w:t>
      </w:r>
      <w:proofErr w:type="spellEnd"/>
      <w:r w:rsidRPr="0058590E">
        <w:rPr>
          <w:rFonts w:cs="Arial"/>
          <w:color w:val="000000"/>
          <w:szCs w:val="18"/>
        </w:rPr>
        <w:t xml:space="preserve"> Managing Research Data Programme Workshop: Achievements, Challenges and Recommendations, Aston Business School, 25-26 March 2013</w:t>
      </w:r>
    </w:p>
    <w:p w:rsidR="0058590E" w:rsidRDefault="0058590E" w:rsidP="0058590E">
      <w:pPr>
        <w:autoSpaceDE w:val="0"/>
        <w:autoSpaceDN w:val="0"/>
        <w:adjustRightInd w:val="0"/>
        <w:spacing w:after="0" w:line="240" w:lineRule="auto"/>
        <w:rPr>
          <w:rFonts w:cs="Arial"/>
          <w:color w:val="000000"/>
          <w:szCs w:val="18"/>
        </w:rPr>
      </w:pPr>
    </w:p>
    <w:p w:rsidR="0058590E" w:rsidRDefault="0058590E" w:rsidP="0058590E">
      <w:pPr>
        <w:autoSpaceDE w:val="0"/>
        <w:autoSpaceDN w:val="0"/>
        <w:adjustRightInd w:val="0"/>
        <w:spacing w:after="0" w:line="240" w:lineRule="auto"/>
        <w:rPr>
          <w:rFonts w:cs="Arial"/>
          <w:color w:val="000000"/>
          <w:szCs w:val="18"/>
        </w:rPr>
      </w:pPr>
      <w:r>
        <w:rPr>
          <w:rFonts w:cs="Arial"/>
          <w:color w:val="000000"/>
          <w:szCs w:val="18"/>
        </w:rPr>
        <w:t xml:space="preserve">Wendy White, </w:t>
      </w:r>
      <w:r w:rsidRPr="0058590E">
        <w:rPr>
          <w:rFonts w:cs="Arial"/>
          <w:color w:val="000000"/>
          <w:szCs w:val="18"/>
        </w:rPr>
        <w:t>Implementing DOIs for Data</w:t>
      </w:r>
      <w:r>
        <w:rPr>
          <w:rFonts w:cs="Arial"/>
          <w:color w:val="000000"/>
          <w:szCs w:val="18"/>
        </w:rPr>
        <w:t xml:space="preserve">, </w:t>
      </w:r>
      <w:proofErr w:type="spellStart"/>
      <w:r w:rsidRPr="0058590E">
        <w:rPr>
          <w:rFonts w:cs="Arial"/>
          <w:color w:val="000000"/>
          <w:szCs w:val="18"/>
        </w:rPr>
        <w:t>Jisc</w:t>
      </w:r>
      <w:proofErr w:type="spellEnd"/>
      <w:r w:rsidRPr="0058590E">
        <w:rPr>
          <w:rFonts w:cs="Arial"/>
          <w:color w:val="000000"/>
          <w:szCs w:val="18"/>
        </w:rPr>
        <w:t xml:space="preserve"> Managing Research Data Programme Workshop: Achievements, Challenges and Recommendations, Aston Business School, 25-26 March 2013</w:t>
      </w:r>
    </w:p>
    <w:p w:rsidR="0058590E" w:rsidRPr="0058590E" w:rsidRDefault="0058590E" w:rsidP="0058590E">
      <w:pPr>
        <w:autoSpaceDE w:val="0"/>
        <w:autoSpaceDN w:val="0"/>
        <w:adjustRightInd w:val="0"/>
        <w:spacing w:after="0" w:line="240" w:lineRule="auto"/>
        <w:rPr>
          <w:rFonts w:cs="FuturaStd-Heavy"/>
          <w:color w:val="45ACDA"/>
          <w:szCs w:val="18"/>
          <w:lang w:eastAsia="zh-CN"/>
        </w:rPr>
      </w:pPr>
    </w:p>
    <w:p w:rsidR="00D1528B" w:rsidRPr="00730942" w:rsidRDefault="00D1528B" w:rsidP="00730942">
      <w:pPr>
        <w:autoSpaceDE w:val="0"/>
        <w:autoSpaceDN w:val="0"/>
        <w:adjustRightInd w:val="0"/>
        <w:spacing w:after="0" w:line="240" w:lineRule="auto"/>
        <w:rPr>
          <w:rFonts w:ascii="FuturaStd-LightOblique" w:hAnsi="FuturaStd-LightOblique" w:cs="FuturaStd-LightOblique"/>
          <w:i/>
          <w:iCs/>
          <w:color w:val="000000"/>
          <w:sz w:val="16"/>
          <w:szCs w:val="16"/>
          <w:lang w:eastAsia="zh-CN"/>
        </w:rPr>
      </w:pPr>
    </w:p>
    <w:p w:rsidR="005C1F3D" w:rsidRDefault="005C1F3D" w:rsidP="005C1F3D"/>
    <w:p w:rsidR="005C1F3D" w:rsidRDefault="005C1F3D" w:rsidP="005C1F3D"/>
    <w:p w:rsidR="00BE7E8D" w:rsidRDefault="00BE7E8D" w:rsidP="00AA7373"/>
    <w:p w:rsidR="00F405C3" w:rsidRDefault="00F405C3" w:rsidP="00AA7373"/>
    <w:p w:rsidR="00E35A94" w:rsidRDefault="00E35A94" w:rsidP="00E35A94">
      <w:pPr>
        <w:pStyle w:val="ListParagraph"/>
      </w:pPr>
    </w:p>
    <w:p w:rsidR="00E35A94" w:rsidRDefault="00E35A94" w:rsidP="00E35A94">
      <w:pPr>
        <w:pStyle w:val="ListParagraph"/>
      </w:pPr>
    </w:p>
    <w:p w:rsidR="00F65B0C" w:rsidRDefault="00F65B0C" w:rsidP="000E777B"/>
    <w:p w:rsidR="009A3A08" w:rsidRDefault="009A3A08" w:rsidP="00062768"/>
    <w:p w:rsidR="0098120F" w:rsidRDefault="0098120F" w:rsidP="00062768"/>
    <w:p w:rsidR="0098120F" w:rsidRDefault="0098120F" w:rsidP="00062768"/>
    <w:p w:rsidR="00BE7E8D" w:rsidRDefault="00BE7E8D" w:rsidP="00062768"/>
    <w:p w:rsidR="00BE7E8D" w:rsidRDefault="00BE7E8D" w:rsidP="00062768"/>
    <w:p w:rsidR="00BE7E8D" w:rsidRDefault="00BE7E8D" w:rsidP="00062768"/>
    <w:p w:rsidR="00BE7E8D" w:rsidRDefault="00BE7E8D" w:rsidP="00062768"/>
    <w:p w:rsidR="00BE7E8D" w:rsidRDefault="00BE7E8D" w:rsidP="00062768"/>
    <w:p w:rsidR="00BE7E8D" w:rsidRDefault="00BE7E8D" w:rsidP="00062768"/>
    <w:p w:rsidR="00BE7E8D" w:rsidRDefault="00BE7E8D" w:rsidP="00062768"/>
    <w:p w:rsidR="00BE7E8D" w:rsidRDefault="00BE7E8D" w:rsidP="00062768"/>
    <w:p w:rsidR="00BE7E8D" w:rsidRDefault="00BE7E8D" w:rsidP="00062768"/>
    <w:sectPr w:rsidR="00BE7E8D" w:rsidSect="00695D76">
      <w:footerReference w:type="default" r:id="rId9"/>
      <w:headerReference w:type="first" r:id="rId10"/>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46C" w:rsidRDefault="0013346C">
      <w:r>
        <w:separator/>
      </w:r>
    </w:p>
    <w:p w:rsidR="0013346C" w:rsidRDefault="0013346C"/>
  </w:endnote>
  <w:endnote w:type="continuationSeparator" w:id="0">
    <w:p w:rsidR="0013346C" w:rsidRDefault="0013346C">
      <w:r>
        <w:continuationSeparator/>
      </w:r>
    </w:p>
    <w:p w:rsidR="0013346C" w:rsidRDefault="00133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Std-LightOblique">
    <w:panose1 w:val="00000000000000000000"/>
    <w:charset w:val="00"/>
    <w:family w:val="swiss"/>
    <w:notTrueType/>
    <w:pitch w:val="default"/>
    <w:sig w:usb0="00000003" w:usb1="00000000" w:usb2="00000000" w:usb3="00000000" w:csb0="00000001" w:csb1="00000000"/>
  </w:font>
  <w:font w:name="FuturaStd-Heavy">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46C" w:rsidRDefault="0025552C" w:rsidP="00ED2E52">
    <w:pPr>
      <w:pStyle w:val="ContinuationFooter"/>
    </w:pPr>
    <w:r>
      <w:fldChar w:fldCharType="begin"/>
    </w:r>
    <w:r>
      <w:instrText xml:space="preserve"> page </w:instrText>
    </w:r>
    <w:r>
      <w:fldChar w:fldCharType="separate"/>
    </w:r>
    <w:r w:rsidR="0055469F">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46C" w:rsidRDefault="0013346C">
      <w:r>
        <w:separator/>
      </w:r>
    </w:p>
    <w:p w:rsidR="0013346C" w:rsidRDefault="0013346C"/>
  </w:footnote>
  <w:footnote w:type="continuationSeparator" w:id="0">
    <w:p w:rsidR="0013346C" w:rsidRDefault="0013346C">
      <w:r>
        <w:continuationSeparator/>
      </w:r>
    </w:p>
    <w:p w:rsidR="0013346C" w:rsidRDefault="001334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0A0" w:firstRow="1" w:lastRow="0" w:firstColumn="1" w:lastColumn="0" w:noHBand="0" w:noVBand="0"/>
    </w:tblPr>
    <w:tblGrid>
      <w:gridCol w:w="9639"/>
    </w:tblGrid>
    <w:tr w:rsidR="0013346C">
      <w:trPr>
        <w:trHeight w:hRule="exact" w:val="227"/>
      </w:trPr>
      <w:tc>
        <w:tcPr>
          <w:tcW w:w="9639" w:type="dxa"/>
        </w:tcPr>
        <w:p w:rsidR="0013346C" w:rsidRDefault="0013346C" w:rsidP="0029789A">
          <w:pPr>
            <w:pStyle w:val="Header"/>
          </w:pPr>
        </w:p>
      </w:tc>
    </w:tr>
    <w:tr w:rsidR="0013346C">
      <w:trPr>
        <w:trHeight w:val="1571"/>
      </w:trPr>
      <w:tc>
        <w:tcPr>
          <w:tcW w:w="9639" w:type="dxa"/>
        </w:tcPr>
        <w:p w:rsidR="0013346C" w:rsidRDefault="0013346C" w:rsidP="0029789A">
          <w:pPr>
            <w:pStyle w:val="Header"/>
            <w:jc w:val="right"/>
          </w:pPr>
          <w:r>
            <w:rPr>
              <w:noProof/>
            </w:rPr>
            <w:drawing>
              <wp:inline distT="0" distB="0" distL="0" distR="0">
                <wp:extent cx="1978660" cy="429895"/>
                <wp:effectExtent l="0" t="0" r="2540" b="8255"/>
                <wp:docPr id="1" name="Picture 1"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southampton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29895"/>
                        </a:xfrm>
                        <a:prstGeom prst="rect">
                          <a:avLst/>
                        </a:prstGeom>
                        <a:noFill/>
                        <a:ln>
                          <a:noFill/>
                        </a:ln>
                      </pic:spPr>
                    </pic:pic>
                  </a:graphicData>
                </a:graphic>
              </wp:inline>
            </w:drawing>
          </w:r>
        </w:p>
      </w:tc>
    </w:tr>
  </w:tbl>
  <w:p w:rsidR="0013346C" w:rsidRPr="0029789A" w:rsidRDefault="0013346C" w:rsidP="0082020C">
    <w:pPr>
      <w:pStyle w:val="DocTitle"/>
    </w:pPr>
    <w:r>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621D28"/>
    <w:lvl w:ilvl="0">
      <w:start w:val="1"/>
      <w:numFmt w:val="decimal"/>
      <w:lvlText w:val="%1."/>
      <w:lvlJc w:val="left"/>
      <w:pPr>
        <w:tabs>
          <w:tab w:val="num" w:pos="1492"/>
        </w:tabs>
        <w:ind w:left="1492" w:hanging="360"/>
      </w:pPr>
    </w:lvl>
  </w:abstractNum>
  <w:abstractNum w:abstractNumId="1">
    <w:nsid w:val="FFFFFF7D"/>
    <w:multiLevelType w:val="singleLevel"/>
    <w:tmpl w:val="651445A8"/>
    <w:lvl w:ilvl="0">
      <w:start w:val="1"/>
      <w:numFmt w:val="decimal"/>
      <w:lvlText w:val="%1."/>
      <w:lvlJc w:val="left"/>
      <w:pPr>
        <w:tabs>
          <w:tab w:val="num" w:pos="1209"/>
        </w:tabs>
        <w:ind w:left="1209" w:hanging="360"/>
      </w:pPr>
    </w:lvl>
  </w:abstractNum>
  <w:abstractNum w:abstractNumId="2">
    <w:nsid w:val="FFFFFF7E"/>
    <w:multiLevelType w:val="singleLevel"/>
    <w:tmpl w:val="54B88728"/>
    <w:lvl w:ilvl="0">
      <w:start w:val="1"/>
      <w:numFmt w:val="decimal"/>
      <w:lvlText w:val="%1."/>
      <w:lvlJc w:val="left"/>
      <w:pPr>
        <w:tabs>
          <w:tab w:val="num" w:pos="926"/>
        </w:tabs>
        <w:ind w:left="926" w:hanging="360"/>
      </w:pPr>
    </w:lvl>
  </w:abstractNum>
  <w:abstractNum w:abstractNumId="3">
    <w:nsid w:val="FFFFFF7F"/>
    <w:multiLevelType w:val="singleLevel"/>
    <w:tmpl w:val="2200B7F2"/>
    <w:lvl w:ilvl="0">
      <w:start w:val="1"/>
      <w:numFmt w:val="decimal"/>
      <w:lvlText w:val="%1."/>
      <w:lvlJc w:val="left"/>
      <w:pPr>
        <w:tabs>
          <w:tab w:val="num" w:pos="643"/>
        </w:tabs>
        <w:ind w:left="643" w:hanging="360"/>
      </w:pPr>
    </w:lvl>
  </w:abstractNum>
  <w:abstractNum w:abstractNumId="4">
    <w:nsid w:val="FFFFFF80"/>
    <w:multiLevelType w:val="singleLevel"/>
    <w:tmpl w:val="A244B3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0698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D6F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CAF3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A8A892"/>
    <w:lvl w:ilvl="0">
      <w:start w:val="1"/>
      <w:numFmt w:val="decimal"/>
      <w:lvlText w:val="%1."/>
      <w:lvlJc w:val="left"/>
      <w:pPr>
        <w:tabs>
          <w:tab w:val="num" w:pos="360"/>
        </w:tabs>
        <w:ind w:left="360" w:hanging="360"/>
      </w:pPr>
    </w:lvl>
  </w:abstractNum>
  <w:abstractNum w:abstractNumId="9">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3915A9"/>
    <w:multiLevelType w:val="multilevel"/>
    <w:tmpl w:val="E85E02E4"/>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43C3248"/>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2">
    <w:nsid w:val="04D62269"/>
    <w:multiLevelType w:val="hybridMultilevel"/>
    <w:tmpl w:val="876A8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845601"/>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14F527F7"/>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15AA4E95"/>
    <w:multiLevelType w:val="hybridMultilevel"/>
    <w:tmpl w:val="C2D0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7554C5A"/>
    <w:multiLevelType w:val="multilevel"/>
    <w:tmpl w:val="647A127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1BC62E60"/>
    <w:multiLevelType w:val="hybridMultilevel"/>
    <w:tmpl w:val="CEE4B244"/>
    <w:lvl w:ilvl="0" w:tplc="1C924D3E">
      <w:start w:val="1"/>
      <w:numFmt w:val="decimal"/>
      <w:lvlText w:val="%1)"/>
      <w:lvlJc w:val="left"/>
      <w:pPr>
        <w:ind w:left="720" w:hanging="360"/>
      </w:pPr>
      <w:rPr>
        <w:rFonts w:hint="default"/>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EDA4BEC"/>
    <w:multiLevelType w:val="hybridMultilevel"/>
    <w:tmpl w:val="D12CF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02900B7"/>
    <w:multiLevelType w:val="hybridMultilevel"/>
    <w:tmpl w:val="2968E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1516B77"/>
    <w:multiLevelType w:val="multilevel"/>
    <w:tmpl w:val="4376543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lowerLetter"/>
      <w:lvlText w:val="%4)"/>
      <w:lvlJc w:val="left"/>
      <w:pPr>
        <w:tabs>
          <w:tab w:val="num" w:pos="998"/>
        </w:tabs>
        <w:ind w:left="998" w:hanging="28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26B951FF"/>
    <w:multiLevelType w:val="multilevel"/>
    <w:tmpl w:val="D47AFFB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27DB3ED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31C75C32"/>
    <w:multiLevelType w:val="multilevel"/>
    <w:tmpl w:val="D5C8E10C"/>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3602213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9B74F9F"/>
    <w:multiLevelType w:val="multilevel"/>
    <w:tmpl w:val="3C0046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4320" w:hanging="1440"/>
      </w:pPr>
      <w:rPr>
        <w:rFonts w:hint="default"/>
      </w:rPr>
    </w:lvl>
  </w:abstractNum>
  <w:abstractNum w:abstractNumId="26">
    <w:nsid w:val="3AA92436"/>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3B6E3275"/>
    <w:multiLevelType w:val="hybridMultilevel"/>
    <w:tmpl w:val="E79C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4447152F"/>
    <w:multiLevelType w:val="hybridMultilevel"/>
    <w:tmpl w:val="CF7A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5643F50"/>
    <w:multiLevelType w:val="multilevel"/>
    <w:tmpl w:val="A9246FB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A495E38"/>
    <w:multiLevelType w:val="hybridMultilevel"/>
    <w:tmpl w:val="BEC418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612F1318"/>
    <w:multiLevelType w:val="multilevel"/>
    <w:tmpl w:val="D2EE7342"/>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2F231FF"/>
    <w:multiLevelType w:val="hybridMultilevel"/>
    <w:tmpl w:val="7FF8A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39D54EE"/>
    <w:multiLevelType w:val="multilevel"/>
    <w:tmpl w:val="803E5A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686E2021"/>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8">
    <w:nsid w:val="69954DE1"/>
    <w:multiLevelType w:val="hybridMultilevel"/>
    <w:tmpl w:val="EE969808"/>
    <w:lvl w:ilvl="0" w:tplc="84F8B900">
      <w:start w:val="1"/>
      <w:numFmt w:val="decimal"/>
      <w:lvlText w:val="Part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6B392CD5"/>
    <w:multiLevelType w:val="multilevel"/>
    <w:tmpl w:val="81B6B8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3744" w:hanging="1224"/>
      </w:pPr>
      <w:rPr>
        <w:rFonts w:hint="default"/>
      </w:rPr>
    </w:lvl>
    <w:lvl w:ilvl="8">
      <w:start w:val="1"/>
      <w:numFmt w:val="none"/>
      <w:suff w:val="nothing"/>
      <w:lvlText w:val=""/>
      <w:lvlJc w:val="left"/>
      <w:pPr>
        <w:ind w:left="4320" w:hanging="1440"/>
      </w:pPr>
      <w:rPr>
        <w:rFonts w:hint="default"/>
      </w:rPr>
    </w:lvl>
  </w:abstractNum>
  <w:abstractNum w:abstractNumId="40">
    <w:nsid w:val="6D8B2A70"/>
    <w:multiLevelType w:val="multilevel"/>
    <w:tmpl w:val="691489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nsid w:val="6FBC5623"/>
    <w:multiLevelType w:val="multilevel"/>
    <w:tmpl w:val="456A48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nsid w:val="6FC239EA"/>
    <w:multiLevelType w:val="hybridMultilevel"/>
    <w:tmpl w:val="0274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01473F8"/>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nsid w:val="70F77CD1"/>
    <w:multiLevelType w:val="hybridMultilevel"/>
    <w:tmpl w:val="4730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34E4B61"/>
    <w:multiLevelType w:val="multilevel"/>
    <w:tmpl w:val="FBEAF40A"/>
    <w:lvl w:ilvl="0">
      <w:start w:val="1"/>
      <w:numFmt w:val="decimal"/>
      <w:lvlText w:val="%1."/>
      <w:lvlJc w:val="left"/>
      <w:pPr>
        <w:tabs>
          <w:tab w:val="num" w:pos="714"/>
        </w:tabs>
        <w:ind w:left="714" w:hanging="714"/>
      </w:pPr>
      <w:rPr>
        <w:rFonts w:hint="default"/>
      </w:rPr>
    </w:lvl>
    <w:lvl w:ilvl="1">
      <w:start w:val="1"/>
      <w:numFmt w:val="bullet"/>
      <w:lvlText w:val=""/>
      <w:lvlJc w:val="left"/>
      <w:pPr>
        <w:tabs>
          <w:tab w:val="num" w:pos="358"/>
        </w:tabs>
        <w:ind w:left="358" w:hanging="358"/>
      </w:pPr>
      <w:rPr>
        <w:rFonts w:ascii="Symbol" w:hAnsi="Symbol"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47">
    <w:nsid w:val="7C661F68"/>
    <w:multiLevelType w:val="multilevel"/>
    <w:tmpl w:val="D1D69410"/>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F204553"/>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46"/>
  </w:num>
  <w:num w:numId="2">
    <w:abstractNumId w:val="36"/>
  </w:num>
  <w:num w:numId="3">
    <w:abstractNumId w:val="13"/>
  </w:num>
  <w:num w:numId="4">
    <w:abstractNumId w:val="14"/>
  </w:num>
  <w:num w:numId="5">
    <w:abstractNumId w:val="2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9"/>
  </w:num>
  <w:num w:numId="17">
    <w:abstractNumId w:val="22"/>
  </w:num>
  <w:num w:numId="18">
    <w:abstractNumId w:val="34"/>
  </w:num>
  <w:num w:numId="19">
    <w:abstractNumId w:val="31"/>
  </w:num>
  <w:num w:numId="20">
    <w:abstractNumId w:val="28"/>
  </w:num>
  <w:num w:numId="21">
    <w:abstractNumId w:val="45"/>
  </w:num>
  <w:num w:numId="22">
    <w:abstractNumId w:val="35"/>
  </w:num>
  <w:num w:numId="23">
    <w:abstractNumId w:val="32"/>
  </w:num>
  <w:num w:numId="24">
    <w:abstractNumId w:val="20"/>
  </w:num>
  <w:num w:numId="25">
    <w:abstractNumId w:val="43"/>
  </w:num>
  <w:num w:numId="26">
    <w:abstractNumId w:val="26"/>
  </w:num>
  <w:num w:numId="27">
    <w:abstractNumId w:val="33"/>
  </w:num>
  <w:num w:numId="28">
    <w:abstractNumId w:val="16"/>
  </w:num>
  <w:num w:numId="29">
    <w:abstractNumId w:val="21"/>
  </w:num>
  <w:num w:numId="30">
    <w:abstractNumId w:val="10"/>
  </w:num>
  <w:num w:numId="31">
    <w:abstractNumId w:val="41"/>
  </w:num>
  <w:num w:numId="32">
    <w:abstractNumId w:val="40"/>
  </w:num>
  <w:num w:numId="33">
    <w:abstractNumId w:val="39"/>
  </w:num>
  <w:num w:numId="34">
    <w:abstractNumId w:val="25"/>
  </w:num>
  <w:num w:numId="35">
    <w:abstractNumId w:val="11"/>
  </w:num>
  <w:num w:numId="36">
    <w:abstractNumId w:val="24"/>
  </w:num>
  <w:num w:numId="37">
    <w:abstractNumId w:val="37"/>
  </w:num>
  <w:num w:numId="38">
    <w:abstractNumId w:val="48"/>
  </w:num>
  <w:num w:numId="39">
    <w:abstractNumId w:val="38"/>
  </w:num>
  <w:num w:numId="40">
    <w:abstractNumId w:val="29"/>
  </w:num>
  <w:num w:numId="41">
    <w:abstractNumId w:val="47"/>
  </w:num>
  <w:num w:numId="42">
    <w:abstractNumId w:val="27"/>
  </w:num>
  <w:num w:numId="43">
    <w:abstractNumId w:val="30"/>
  </w:num>
  <w:num w:numId="44">
    <w:abstractNumId w:val="12"/>
  </w:num>
  <w:num w:numId="45">
    <w:abstractNumId w:val="17"/>
  </w:num>
  <w:num w:numId="46">
    <w:abstractNumId w:val="15"/>
  </w:num>
  <w:num w:numId="47">
    <w:abstractNumId w:val="42"/>
  </w:num>
  <w:num w:numId="48">
    <w:abstractNumId w:val="44"/>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A08"/>
    <w:rsid w:val="0000043D"/>
    <w:rsid w:val="00015087"/>
    <w:rsid w:val="000600BF"/>
    <w:rsid w:val="00062768"/>
    <w:rsid w:val="00063081"/>
    <w:rsid w:val="00071653"/>
    <w:rsid w:val="00072B19"/>
    <w:rsid w:val="00074D54"/>
    <w:rsid w:val="000824F4"/>
    <w:rsid w:val="00082921"/>
    <w:rsid w:val="000978E8"/>
    <w:rsid w:val="000A02D5"/>
    <w:rsid w:val="000B1DED"/>
    <w:rsid w:val="000C044A"/>
    <w:rsid w:val="000C1CDD"/>
    <w:rsid w:val="000D4791"/>
    <w:rsid w:val="000D56E8"/>
    <w:rsid w:val="000E777B"/>
    <w:rsid w:val="00111497"/>
    <w:rsid w:val="00115E53"/>
    <w:rsid w:val="0013346C"/>
    <w:rsid w:val="001532E2"/>
    <w:rsid w:val="0018144C"/>
    <w:rsid w:val="001840EA"/>
    <w:rsid w:val="001C5C5C"/>
    <w:rsid w:val="001D0B37"/>
    <w:rsid w:val="001D2EDF"/>
    <w:rsid w:val="001D5201"/>
    <w:rsid w:val="001E05F4"/>
    <w:rsid w:val="002139D2"/>
    <w:rsid w:val="00224FE7"/>
    <w:rsid w:val="002361FF"/>
    <w:rsid w:val="00236BFE"/>
    <w:rsid w:val="00241441"/>
    <w:rsid w:val="0024539C"/>
    <w:rsid w:val="0024639E"/>
    <w:rsid w:val="00254722"/>
    <w:rsid w:val="002547F5"/>
    <w:rsid w:val="0025552C"/>
    <w:rsid w:val="00260333"/>
    <w:rsid w:val="00260B1D"/>
    <w:rsid w:val="0029789A"/>
    <w:rsid w:val="002A70BE"/>
    <w:rsid w:val="002C6198"/>
    <w:rsid w:val="002D4DF4"/>
    <w:rsid w:val="0031068A"/>
    <w:rsid w:val="00310E9C"/>
    <w:rsid w:val="00313CC8"/>
    <w:rsid w:val="003178D9"/>
    <w:rsid w:val="0034151E"/>
    <w:rsid w:val="00361AA9"/>
    <w:rsid w:val="00363691"/>
    <w:rsid w:val="00364B2C"/>
    <w:rsid w:val="003701EB"/>
    <w:rsid w:val="003701F7"/>
    <w:rsid w:val="003A03C4"/>
    <w:rsid w:val="003B0262"/>
    <w:rsid w:val="003B7035"/>
    <w:rsid w:val="003F5E98"/>
    <w:rsid w:val="00463797"/>
    <w:rsid w:val="00464CEF"/>
    <w:rsid w:val="00474D00"/>
    <w:rsid w:val="004B2A50"/>
    <w:rsid w:val="004C0252"/>
    <w:rsid w:val="004C1EEA"/>
    <w:rsid w:val="004F0038"/>
    <w:rsid w:val="00512186"/>
    <w:rsid w:val="0051744C"/>
    <w:rsid w:val="00520060"/>
    <w:rsid w:val="00524005"/>
    <w:rsid w:val="00541CE0"/>
    <w:rsid w:val="00546C9B"/>
    <w:rsid w:val="005534E1"/>
    <w:rsid w:val="0055469F"/>
    <w:rsid w:val="00573487"/>
    <w:rsid w:val="0058590E"/>
    <w:rsid w:val="005949FA"/>
    <w:rsid w:val="005A363F"/>
    <w:rsid w:val="005A7E51"/>
    <w:rsid w:val="005B29F5"/>
    <w:rsid w:val="005C1F3D"/>
    <w:rsid w:val="005C609E"/>
    <w:rsid w:val="005D44D1"/>
    <w:rsid w:val="005E0E4A"/>
    <w:rsid w:val="005E37F6"/>
    <w:rsid w:val="006249FD"/>
    <w:rsid w:val="00650CEB"/>
    <w:rsid w:val="00695D76"/>
    <w:rsid w:val="0070376B"/>
    <w:rsid w:val="00730942"/>
    <w:rsid w:val="00761108"/>
    <w:rsid w:val="007715F1"/>
    <w:rsid w:val="00780AAA"/>
    <w:rsid w:val="0079197B"/>
    <w:rsid w:val="00791A2A"/>
    <w:rsid w:val="007B51CA"/>
    <w:rsid w:val="007C6FAA"/>
    <w:rsid w:val="007E2D19"/>
    <w:rsid w:val="007F2AEA"/>
    <w:rsid w:val="007F41BC"/>
    <w:rsid w:val="00801D03"/>
    <w:rsid w:val="00813A2C"/>
    <w:rsid w:val="0082020C"/>
    <w:rsid w:val="0082075E"/>
    <w:rsid w:val="00854B1E"/>
    <w:rsid w:val="00856B8A"/>
    <w:rsid w:val="00883499"/>
    <w:rsid w:val="00892BEC"/>
    <w:rsid w:val="008960F1"/>
    <w:rsid w:val="008B309C"/>
    <w:rsid w:val="008B392E"/>
    <w:rsid w:val="008D013D"/>
    <w:rsid w:val="008D4BB2"/>
    <w:rsid w:val="008F03C7"/>
    <w:rsid w:val="00924749"/>
    <w:rsid w:val="00945F4B"/>
    <w:rsid w:val="009464AF"/>
    <w:rsid w:val="00964B08"/>
    <w:rsid w:val="00965BFB"/>
    <w:rsid w:val="00970E28"/>
    <w:rsid w:val="0098120F"/>
    <w:rsid w:val="009A3A08"/>
    <w:rsid w:val="009A451D"/>
    <w:rsid w:val="009B7EA7"/>
    <w:rsid w:val="009D696A"/>
    <w:rsid w:val="00A021B7"/>
    <w:rsid w:val="00A131D9"/>
    <w:rsid w:val="00A20DA1"/>
    <w:rsid w:val="00A23226"/>
    <w:rsid w:val="00A34296"/>
    <w:rsid w:val="00A3594D"/>
    <w:rsid w:val="00A45B37"/>
    <w:rsid w:val="00A521A9"/>
    <w:rsid w:val="00A57D98"/>
    <w:rsid w:val="00A925C0"/>
    <w:rsid w:val="00A94D83"/>
    <w:rsid w:val="00AA3CB5"/>
    <w:rsid w:val="00AA7373"/>
    <w:rsid w:val="00AB5689"/>
    <w:rsid w:val="00AC2B17"/>
    <w:rsid w:val="00AC76D6"/>
    <w:rsid w:val="00AD69F3"/>
    <w:rsid w:val="00AE1CA0"/>
    <w:rsid w:val="00AE39DC"/>
    <w:rsid w:val="00AE4468"/>
    <w:rsid w:val="00AE4DC4"/>
    <w:rsid w:val="00AF1083"/>
    <w:rsid w:val="00AF7AE6"/>
    <w:rsid w:val="00B607FA"/>
    <w:rsid w:val="00B70A0D"/>
    <w:rsid w:val="00B77BE8"/>
    <w:rsid w:val="00B84C12"/>
    <w:rsid w:val="00BB4A42"/>
    <w:rsid w:val="00BB7845"/>
    <w:rsid w:val="00BE5833"/>
    <w:rsid w:val="00BE7E8D"/>
    <w:rsid w:val="00BF1CC6"/>
    <w:rsid w:val="00C03435"/>
    <w:rsid w:val="00C10B00"/>
    <w:rsid w:val="00C54C11"/>
    <w:rsid w:val="00C62C06"/>
    <w:rsid w:val="00C8256E"/>
    <w:rsid w:val="00C84640"/>
    <w:rsid w:val="00C907D0"/>
    <w:rsid w:val="00C91140"/>
    <w:rsid w:val="00CA64E9"/>
    <w:rsid w:val="00CC3238"/>
    <w:rsid w:val="00CC7187"/>
    <w:rsid w:val="00CD04F0"/>
    <w:rsid w:val="00CE3A26"/>
    <w:rsid w:val="00D1528B"/>
    <w:rsid w:val="00D16D9D"/>
    <w:rsid w:val="00D54AA2"/>
    <w:rsid w:val="00D5587F"/>
    <w:rsid w:val="00D65B56"/>
    <w:rsid w:val="00D67D41"/>
    <w:rsid w:val="00D840D0"/>
    <w:rsid w:val="00DA31C6"/>
    <w:rsid w:val="00DA6CF0"/>
    <w:rsid w:val="00DB2390"/>
    <w:rsid w:val="00DC7773"/>
    <w:rsid w:val="00DE5CCE"/>
    <w:rsid w:val="00DF38C7"/>
    <w:rsid w:val="00E25775"/>
    <w:rsid w:val="00E35A94"/>
    <w:rsid w:val="00E363B8"/>
    <w:rsid w:val="00E50F83"/>
    <w:rsid w:val="00E63AC1"/>
    <w:rsid w:val="00EC17B6"/>
    <w:rsid w:val="00ED2E52"/>
    <w:rsid w:val="00EE660C"/>
    <w:rsid w:val="00F07A4A"/>
    <w:rsid w:val="00F405C3"/>
    <w:rsid w:val="00F412BF"/>
    <w:rsid w:val="00F56CE2"/>
    <w:rsid w:val="00F65B0C"/>
    <w:rsid w:val="00F83B48"/>
    <w:rsid w:val="00F85DED"/>
    <w:rsid w:val="00F90F90"/>
    <w:rsid w:val="00FC2ADA"/>
    <w:rsid w:val="00FC60C7"/>
    <w:rsid w:val="00FD3ED9"/>
    <w:rsid w:val="00FF140B"/>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845"/>
    <w:pPr>
      <w:spacing w:after="90" w:line="288" w:lineRule="auto"/>
    </w:pPr>
    <w:rPr>
      <w:rFonts w:ascii="Lucida Sans" w:hAnsi="Lucida Sans"/>
      <w:sz w:val="18"/>
      <w:szCs w:val="24"/>
      <w:lang w:eastAsia="en-GB"/>
    </w:rPr>
  </w:style>
  <w:style w:type="paragraph" w:styleId="Heading1">
    <w:name w:val="heading 1"/>
    <w:basedOn w:val="Normal"/>
    <w:next w:val="Normal"/>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B2A50"/>
    <w:pPr>
      <w:keepNext/>
      <w:spacing w:before="240" w:after="60"/>
      <w:outlineLvl w:val="1"/>
    </w:pPr>
    <w:rPr>
      <w:rFonts w:cs="Arial"/>
      <w:b/>
      <w:bCs/>
      <w:iCs/>
      <w:sz w:val="28"/>
      <w:szCs w:val="28"/>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6"/>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spacing w:line="240" w:lineRule="auto"/>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semiHidden/>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8"/>
      </w:numPr>
    </w:pPr>
  </w:style>
  <w:style w:type="paragraph" w:styleId="ListBullet3">
    <w:name w:val="List Bullet 3"/>
    <w:basedOn w:val="Normal"/>
    <w:rsid w:val="00856B8A"/>
    <w:pPr>
      <w:numPr>
        <w:numId w:val="20"/>
      </w:numPr>
    </w:pPr>
  </w:style>
  <w:style w:type="paragraph" w:customStyle="1" w:styleId="Tabletext">
    <w:name w:val="Table text"/>
    <w:basedOn w:val="Normal"/>
    <w:rsid w:val="00260B1D"/>
    <w:pPr>
      <w:spacing w:line="240" w:lineRule="auto"/>
    </w:pPr>
    <w:rPr>
      <w:sz w:val="20"/>
    </w:rPr>
  </w:style>
  <w:style w:type="paragraph" w:styleId="FootnoteText">
    <w:name w:val="footnote text"/>
    <w:basedOn w:val="Normal"/>
    <w:semiHidden/>
    <w:rsid w:val="00260B1D"/>
    <w:rPr>
      <w:sz w:val="20"/>
      <w:szCs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pPr>
      <w:spacing w:after="60"/>
    </w:pPr>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40"/>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paragraph" w:styleId="ListParagraph">
    <w:name w:val="List Paragraph"/>
    <w:basedOn w:val="Normal"/>
    <w:uiPriority w:val="34"/>
    <w:qFormat/>
    <w:rsid w:val="00AF7AE6"/>
    <w:pPr>
      <w:ind w:left="720"/>
      <w:contextualSpacing/>
    </w:pPr>
  </w:style>
  <w:style w:type="character" w:styleId="Hyperlink">
    <w:name w:val="Hyperlink"/>
    <w:basedOn w:val="DefaultParagraphFont"/>
    <w:rsid w:val="00DE5CCE"/>
    <w:rPr>
      <w:color w:val="0000FF" w:themeColor="hyperlink"/>
      <w:u w:val="single"/>
    </w:rPr>
  </w:style>
  <w:style w:type="character" w:styleId="Strong">
    <w:name w:val="Strong"/>
    <w:basedOn w:val="DefaultParagraphFont"/>
    <w:qFormat/>
    <w:rsid w:val="002139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845"/>
    <w:pPr>
      <w:spacing w:after="90" w:line="288" w:lineRule="auto"/>
    </w:pPr>
    <w:rPr>
      <w:rFonts w:ascii="Lucida Sans" w:hAnsi="Lucida Sans"/>
      <w:sz w:val="18"/>
      <w:szCs w:val="24"/>
      <w:lang w:eastAsia="en-GB"/>
    </w:rPr>
  </w:style>
  <w:style w:type="paragraph" w:styleId="Heading1">
    <w:name w:val="heading 1"/>
    <w:basedOn w:val="Normal"/>
    <w:next w:val="Normal"/>
    <w:qFormat/>
    <w:rsid w:val="004B2A50"/>
    <w:pPr>
      <w:keepNext/>
      <w:spacing w:before="240" w:after="60"/>
      <w:outlineLvl w:val="0"/>
    </w:pPr>
    <w:rPr>
      <w:rFonts w:cs="Arial"/>
      <w:b/>
      <w:bCs/>
      <w:kern w:val="32"/>
      <w:sz w:val="32"/>
      <w:szCs w:val="32"/>
    </w:rPr>
  </w:style>
  <w:style w:type="paragraph" w:styleId="Heading2">
    <w:name w:val="heading 2"/>
    <w:basedOn w:val="Normal"/>
    <w:next w:val="Normal"/>
    <w:qFormat/>
    <w:rsid w:val="004B2A50"/>
    <w:pPr>
      <w:keepNext/>
      <w:spacing w:before="240" w:after="60"/>
      <w:outlineLvl w:val="1"/>
    </w:pPr>
    <w:rPr>
      <w:rFonts w:cs="Arial"/>
      <w:b/>
      <w:bCs/>
      <w:iCs/>
      <w:sz w:val="28"/>
      <w:szCs w:val="28"/>
    </w:rPr>
  </w:style>
  <w:style w:type="paragraph" w:styleId="Heading3">
    <w:name w:val="heading 3"/>
    <w:basedOn w:val="Normal"/>
    <w:next w:val="Normal"/>
    <w:qFormat/>
    <w:rsid w:val="004B2A5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6"/>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spacing w:line="240" w:lineRule="auto"/>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semiHidden/>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8"/>
      </w:numPr>
    </w:pPr>
  </w:style>
  <w:style w:type="paragraph" w:styleId="ListBullet3">
    <w:name w:val="List Bullet 3"/>
    <w:basedOn w:val="Normal"/>
    <w:rsid w:val="00856B8A"/>
    <w:pPr>
      <w:numPr>
        <w:numId w:val="20"/>
      </w:numPr>
    </w:pPr>
  </w:style>
  <w:style w:type="paragraph" w:customStyle="1" w:styleId="Tabletext">
    <w:name w:val="Table text"/>
    <w:basedOn w:val="Normal"/>
    <w:rsid w:val="00260B1D"/>
    <w:pPr>
      <w:spacing w:line="240" w:lineRule="auto"/>
    </w:pPr>
    <w:rPr>
      <w:sz w:val="20"/>
    </w:rPr>
  </w:style>
  <w:style w:type="paragraph" w:styleId="FootnoteText">
    <w:name w:val="footnote text"/>
    <w:basedOn w:val="Normal"/>
    <w:semiHidden/>
    <w:rsid w:val="00260B1D"/>
    <w:rPr>
      <w:sz w:val="20"/>
      <w:szCs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pPr>
      <w:spacing w:after="60"/>
    </w:pPr>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after="60"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40"/>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paragraph" w:styleId="ListParagraph">
    <w:name w:val="List Paragraph"/>
    <w:basedOn w:val="Normal"/>
    <w:uiPriority w:val="34"/>
    <w:qFormat/>
    <w:rsid w:val="00AF7AE6"/>
    <w:pPr>
      <w:ind w:left="720"/>
      <w:contextualSpacing/>
    </w:pPr>
  </w:style>
  <w:style w:type="character" w:styleId="Hyperlink">
    <w:name w:val="Hyperlink"/>
    <w:basedOn w:val="DefaultParagraphFont"/>
    <w:rsid w:val="00DE5CCE"/>
    <w:rPr>
      <w:color w:val="0000FF" w:themeColor="hyperlink"/>
      <w:u w:val="single"/>
    </w:rPr>
  </w:style>
  <w:style w:type="character" w:styleId="Strong">
    <w:name w:val="Strong"/>
    <w:basedOn w:val="DefaultParagraphFont"/>
    <w:qFormat/>
    <w:rsid w:val="00213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46195">
      <w:bodyDiv w:val="1"/>
      <w:marLeft w:val="0"/>
      <w:marRight w:val="0"/>
      <w:marTop w:val="0"/>
      <w:marBottom w:val="0"/>
      <w:divBdr>
        <w:top w:val="none" w:sz="0" w:space="0" w:color="auto"/>
        <w:left w:val="none" w:sz="0" w:space="0" w:color="auto"/>
        <w:bottom w:val="none" w:sz="0" w:space="0" w:color="auto"/>
        <w:right w:val="none" w:sz="0" w:space="0" w:color="auto"/>
      </w:divBdr>
      <w:divsChild>
        <w:div w:id="1129906760">
          <w:marLeft w:val="0"/>
          <w:marRight w:val="0"/>
          <w:marTop w:val="0"/>
          <w:marBottom w:val="0"/>
          <w:divBdr>
            <w:top w:val="none" w:sz="0" w:space="0" w:color="auto"/>
            <w:left w:val="none" w:sz="0" w:space="0" w:color="auto"/>
            <w:bottom w:val="none" w:sz="0" w:space="0" w:color="auto"/>
            <w:right w:val="none" w:sz="0" w:space="0" w:color="auto"/>
          </w:divBdr>
        </w:div>
      </w:divsChild>
    </w:div>
    <w:div w:id="185961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rints.soton.ac.uk/33881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 Report template</vt:lpstr>
    </vt:vector>
  </TitlesOfParts>
  <Company>Southampton University</Company>
  <LinksUpToDate>false</LinksUpToDate>
  <CharactersWithSpaces>12335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Report template</dc:title>
  <dc:creator>White W.H.</dc:creator>
  <cp:keywords>V0.1</cp:keywords>
  <cp:lastModifiedBy>White</cp:lastModifiedBy>
  <cp:revision>2</cp:revision>
  <cp:lastPrinted>2008-01-14T17:11:00Z</cp:lastPrinted>
  <dcterms:created xsi:type="dcterms:W3CDTF">2013-03-10T16:04:00Z</dcterms:created>
  <dcterms:modified xsi:type="dcterms:W3CDTF">2013-03-10T16:04:00Z</dcterms:modified>
</cp:coreProperties>
</file>